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29304" w14:textId="0AEA38D5" w:rsidR="00C218F5" w:rsidRDefault="00C218F5" w:rsidP="005A007E">
      <w:pPr>
        <w:jc w:val="center"/>
        <w:rPr>
          <w:rStyle w:val="Heading1Char"/>
          <w:rFonts w:ascii="Verdana" w:hAnsi="Verdana"/>
          <w:color w:val="auto"/>
          <w:sz w:val="22"/>
          <w:szCs w:val="22"/>
        </w:rPr>
      </w:pPr>
      <w:bookmarkStart w:id="0" w:name="_Hlk536613771"/>
      <w:r w:rsidRPr="00B7542A">
        <w:rPr>
          <w:rStyle w:val="Heading1Char"/>
          <w:rFonts w:ascii="Verdana" w:hAnsi="Verdana"/>
          <w:color w:val="auto"/>
          <w:sz w:val="22"/>
          <w:szCs w:val="22"/>
        </w:rPr>
        <w:t>Cannabis Withdrawal Scale (CWS)</w:t>
      </w:r>
      <w:r w:rsidR="005A007E" w:rsidRPr="00B7542A">
        <w:rPr>
          <w:rStyle w:val="Heading1Char"/>
          <w:rFonts w:ascii="Verdana" w:hAnsi="Verdana"/>
          <w:color w:val="auto"/>
          <w:sz w:val="22"/>
          <w:szCs w:val="22"/>
        </w:rPr>
        <w:t xml:space="preserve"> </w:t>
      </w:r>
    </w:p>
    <w:p w14:paraId="1D26179F" w14:textId="77777777" w:rsidR="00B7542A" w:rsidRDefault="00B7542A" w:rsidP="00B7542A">
      <w:pPr>
        <w:spacing w:after="0" w:line="360" w:lineRule="auto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For each question:</w:t>
      </w:r>
    </w:p>
    <w:p w14:paraId="5692F8A7" w14:textId="6D637FAE" w:rsidR="00B7542A" w:rsidRPr="00B7542A" w:rsidRDefault="00B7542A" w:rsidP="00B7542A">
      <w:pPr>
        <w:pStyle w:val="ListParagraph"/>
        <w:numPr>
          <w:ilvl w:val="0"/>
          <w:numId w:val="22"/>
        </w:numPr>
        <w:spacing w:after="0" w:line="360" w:lineRule="auto"/>
        <w:rPr>
          <w:rFonts w:ascii="Verdana" w:hAnsi="Verdana"/>
          <w:b/>
          <w:bCs/>
          <w:sz w:val="16"/>
          <w:szCs w:val="16"/>
        </w:rPr>
      </w:pPr>
      <w:r w:rsidRPr="0049209F">
        <w:rPr>
          <w:rFonts w:ascii="Verdana" w:hAnsi="Verdana"/>
          <w:sz w:val="16"/>
          <w:szCs w:val="16"/>
        </w:rPr>
        <w:t xml:space="preserve">First </w:t>
      </w:r>
      <w:r w:rsidRPr="00B7542A">
        <w:rPr>
          <w:rFonts w:ascii="Verdana" w:hAnsi="Verdana"/>
          <w:sz w:val="16"/>
          <w:szCs w:val="16"/>
        </w:rPr>
        <w:t xml:space="preserve">circle (o) the number that most closely represents your personal </w:t>
      </w:r>
      <w:r w:rsidRPr="0049209F">
        <w:rPr>
          <w:rFonts w:ascii="Verdana" w:hAnsi="Verdana"/>
          <w:b/>
          <w:bCs/>
          <w:sz w:val="16"/>
          <w:szCs w:val="16"/>
        </w:rPr>
        <w:t>experience</w:t>
      </w:r>
      <w:r w:rsidRPr="00B7542A">
        <w:rPr>
          <w:rFonts w:ascii="Verdana" w:hAnsi="Verdana"/>
          <w:sz w:val="16"/>
          <w:szCs w:val="16"/>
        </w:rPr>
        <w:t>.</w:t>
      </w:r>
    </w:p>
    <w:p w14:paraId="3D9C7165" w14:textId="7768BFD1" w:rsidR="00B7542A" w:rsidRPr="00B7542A" w:rsidRDefault="00B7542A" w:rsidP="00B7542A">
      <w:pPr>
        <w:pStyle w:val="ListParagraph"/>
        <w:numPr>
          <w:ilvl w:val="0"/>
          <w:numId w:val="22"/>
        </w:numPr>
        <w:spacing w:after="0" w:line="360" w:lineRule="auto"/>
        <w:rPr>
          <w:rFonts w:ascii="Verdana" w:hAnsi="Verdana"/>
          <w:b/>
          <w:bCs/>
          <w:sz w:val="16"/>
          <w:szCs w:val="16"/>
        </w:rPr>
      </w:pPr>
      <w:r w:rsidRPr="0049209F">
        <w:rPr>
          <w:rFonts w:ascii="Verdana" w:hAnsi="Verdana"/>
          <w:sz w:val="16"/>
          <w:szCs w:val="16"/>
        </w:rPr>
        <w:t>Then</w:t>
      </w:r>
      <w:r w:rsidRPr="00B7542A">
        <w:rPr>
          <w:rFonts w:ascii="Verdana" w:hAnsi="Verdana"/>
          <w:b/>
          <w:bCs/>
          <w:sz w:val="16"/>
          <w:szCs w:val="16"/>
        </w:rPr>
        <w:t xml:space="preserve"> </w:t>
      </w:r>
      <w:r w:rsidRPr="00B7542A">
        <w:rPr>
          <w:rFonts w:ascii="Verdana" w:hAnsi="Verdana"/>
          <w:sz w:val="16"/>
          <w:szCs w:val="16"/>
        </w:rPr>
        <w:t xml:space="preserve">rate (0-10) its negative </w:t>
      </w:r>
      <w:r w:rsidRPr="0049209F">
        <w:rPr>
          <w:rFonts w:ascii="Verdana" w:hAnsi="Verdana"/>
          <w:b/>
          <w:bCs/>
          <w:sz w:val="16"/>
          <w:szCs w:val="16"/>
        </w:rPr>
        <w:t>impact</w:t>
      </w:r>
      <w:r w:rsidRPr="00B7542A">
        <w:rPr>
          <w:rFonts w:ascii="Verdana" w:hAnsi="Verdana"/>
          <w:sz w:val="16"/>
          <w:szCs w:val="16"/>
        </w:rPr>
        <w:t xml:space="preserve"> on daily delivery.</w:t>
      </w:r>
    </w:p>
    <w:tbl>
      <w:tblPr>
        <w:tblStyle w:val="TableGrid"/>
        <w:tblW w:w="9129" w:type="dxa"/>
        <w:tblLayout w:type="fixed"/>
        <w:tblLook w:val="04A0" w:firstRow="1" w:lastRow="0" w:firstColumn="1" w:lastColumn="0" w:noHBand="0" w:noVBand="1"/>
      </w:tblPr>
      <w:tblGrid>
        <w:gridCol w:w="3114"/>
        <w:gridCol w:w="383"/>
        <w:gridCol w:w="383"/>
        <w:gridCol w:w="383"/>
        <w:gridCol w:w="302"/>
        <w:gridCol w:w="81"/>
        <w:gridCol w:w="383"/>
        <w:gridCol w:w="384"/>
        <w:gridCol w:w="383"/>
        <w:gridCol w:w="220"/>
        <w:gridCol w:w="163"/>
        <w:gridCol w:w="383"/>
        <w:gridCol w:w="383"/>
        <w:gridCol w:w="522"/>
        <w:gridCol w:w="321"/>
        <w:gridCol w:w="1341"/>
      </w:tblGrid>
      <w:tr w:rsidR="00B7542A" w:rsidRPr="00402D7E" w14:paraId="5EBB1789" w14:textId="77777777" w:rsidTr="0049209F">
        <w:trPr>
          <w:trHeight w:val="114"/>
        </w:trPr>
        <w:tc>
          <w:tcPr>
            <w:tcW w:w="3114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A14C4D8" w14:textId="77777777" w:rsidR="00B7542A" w:rsidRPr="00B7542A" w:rsidRDefault="00B7542A" w:rsidP="002634A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53" w:type="dxa"/>
            <w:gridSpan w:val="13"/>
            <w:tcBorders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14:paraId="70F2AB91" w14:textId="4578C015" w:rsidR="00B7542A" w:rsidRPr="0049209F" w:rsidRDefault="00B7542A" w:rsidP="00B7542A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9209F">
              <w:rPr>
                <w:rFonts w:ascii="Verdana" w:hAnsi="Verdana"/>
                <w:b/>
                <w:bCs/>
                <w:sz w:val="16"/>
                <w:szCs w:val="16"/>
              </w:rPr>
              <w:t>Experience</w:t>
            </w:r>
          </w:p>
        </w:tc>
        <w:tc>
          <w:tcPr>
            <w:tcW w:w="321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28ACC294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6B166A2" w14:textId="40E98F8F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9209F">
              <w:rPr>
                <w:rFonts w:ascii="Verdana" w:hAnsi="Verdana"/>
                <w:b/>
                <w:bCs/>
                <w:sz w:val="16"/>
                <w:szCs w:val="16"/>
              </w:rPr>
              <w:t>Impact</w:t>
            </w:r>
            <w:r>
              <w:rPr>
                <w:rFonts w:ascii="Verdana" w:hAnsi="Verdana"/>
                <w:sz w:val="16"/>
                <w:szCs w:val="16"/>
              </w:rPr>
              <w:t xml:space="preserve">      (0-10)</w:t>
            </w:r>
          </w:p>
        </w:tc>
      </w:tr>
      <w:tr w:rsidR="00B7542A" w:rsidRPr="00402D7E" w14:paraId="1E41CB01" w14:textId="77777777" w:rsidTr="0049209F">
        <w:trPr>
          <w:trHeight w:val="113"/>
        </w:trPr>
        <w:tc>
          <w:tcPr>
            <w:tcW w:w="3114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51B65F42" w14:textId="77777777" w:rsidR="00B7542A" w:rsidRPr="00B7542A" w:rsidRDefault="00B7542A" w:rsidP="002634AD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14:paraId="173D6F21" w14:textId="3F64AFD2" w:rsid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Not at all</w:t>
            </w:r>
          </w:p>
        </w:tc>
        <w:tc>
          <w:tcPr>
            <w:tcW w:w="145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DCFC06" w14:textId="110A67F5" w:rsid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Moderately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5C7159B1" w14:textId="56A3971E" w:rsid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Extremely</w:t>
            </w:r>
          </w:p>
        </w:tc>
        <w:tc>
          <w:tcPr>
            <w:tcW w:w="32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38AB8AA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DB11AB" w14:textId="77777777" w:rsid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033DB014" w14:textId="15B71106" w:rsidTr="0049209F">
        <w:trPr>
          <w:trHeight w:val="509"/>
        </w:trPr>
        <w:tc>
          <w:tcPr>
            <w:tcW w:w="3114" w:type="dxa"/>
            <w:tcBorders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72B2BA9A" w14:textId="5BA8ACD5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The only thing I could think about was smoking some cannabis </w:t>
            </w:r>
          </w:p>
        </w:tc>
        <w:tc>
          <w:tcPr>
            <w:tcW w:w="383" w:type="dxa"/>
            <w:tcBorders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ADA6B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9E2D08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663DB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65A15D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90548E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AC99CC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91661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06B01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79D2DA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3EC4ED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9916F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22C62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4C3D0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158A97B8" w14:textId="56A8BD1E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B771B63" w14:textId="70FB4530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2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a headache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62794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2C01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96B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5769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4759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4AA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3EF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2A0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DE6F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741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F1CE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8FA5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C1316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0FE93FDF" w14:textId="2724F36F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67B8332" w14:textId="729A2C29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3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I had no appetite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B64EB5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9A4FCD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984793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2B9DF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578B7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78DDDF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889647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9DFD5E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1D493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8DD3F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0870D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D82A2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BA4E4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613F61D9" w14:textId="2111A82E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49859FE" w14:textId="1F9D0620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4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felt nauseous (like vomiting)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C1207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7791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D72A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4177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BDF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5CFB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DE27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6B4C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2B26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3E1E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E40B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B375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DAF06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5F27841F" w14:textId="33E04981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3E8ADDE7" w14:textId="6600BC62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5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felt nervous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06FB60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8A796A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4AF8E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73BA24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5CCD73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E68D14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630DC5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81F01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E561C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4E4CF9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FC5B2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0A5DB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70A8EA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65C2B58A" w14:textId="030CE4B0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761A262" w14:textId="4547F5BC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6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some angry outbursts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77E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7746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9F9C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EFC2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CA0A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5A1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5787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9CA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9B54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D1FA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3BA2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979CF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DF8F3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2CCECB80" w14:textId="4D3440EB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25DC113A" w14:textId="74AB09FB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7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mood swings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8DAD6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442C96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1360F2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1EEFEC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8B06B4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0FBCD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CB386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3E994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8B5A4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112A6E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39937B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A6A5B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AB6284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45C2F62B" w14:textId="11EF586B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174BC78" w14:textId="60AAD678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8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felt depressed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EFAF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FD35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B99B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56EB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4CC1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5F4B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90F2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737E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7EEC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151E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F77D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43430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FBB04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26DC9CD9" w14:textId="2A56607F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0D0E490" w14:textId="14F2B634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9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was easily irritated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8DD32A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8EC9E9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88DA92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D9E246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6E6DC2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198BD7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BA9CE1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C53D08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67376E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6A4534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1AC35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168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C0AC05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0BF03D70" w14:textId="50942B62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9212662" w14:textId="3E449EFD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10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been imagining being stoned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CA735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ABA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560C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F2E4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2E2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AC8F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7F0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2EEF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63A1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F85A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851A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26883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13A32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6243657C" w14:textId="4A328A12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16529CFE" w14:textId="69942F4B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11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felt restless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A5D6C8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194FF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F1E416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6BFD19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D7E76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0D5C6B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4363CD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FC7F6F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5594D4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F73CF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EAC03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C30A7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E7C2B0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4309327B" w14:textId="49248DDD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7208E54" w14:textId="74E732D9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12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woke up early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0116E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E62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2232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BB03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088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B6D9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786E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F385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1351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E011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CC3AA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3D398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32C68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7B336AFA" w14:textId="69AB5271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14B1324" w14:textId="6496B088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13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a stomach ache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82A217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53E1A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40569D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EBA153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3CD2DC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162381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00E631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2FBF43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6D4EF2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1E7406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9D65D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919A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86AFE2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6B5B3D0E" w14:textId="06167474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01A9373" w14:textId="03FF3B6F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14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 xml:space="preserve">I had nightmares and/or strange dreams 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7683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6AE4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788A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2E38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FC95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44C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B499D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3B70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204E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E42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ACA1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8B6D7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E49A7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0EEA7312" w14:textId="55DC5865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54833ED2" w14:textId="7197C59F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15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Life seemed like an uphill struggle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0DEEA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38A74B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1AD1CE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39894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F5442B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8FF26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352E1F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DB3691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6D47A2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05E938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4EF4A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D0E4E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37F489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6BB27152" w14:textId="5AACD714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4B8707" w14:textId="66855CB8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16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I woke up sweating at night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87EA6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BA4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F4F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5FA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0906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166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96C73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2669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C7E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0F92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4665A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76249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3F3A8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71E22BCD" w14:textId="7F674DB8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4B36D444" w14:textId="2542F7B4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17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I had trouble getting to sleep at night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17A245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5D1368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625F53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93C475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888EB8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7C18D7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75CD0C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EC1D46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CFF690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D6C64E4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75FB5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F9DB7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1D75F1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40C1E8DE" w14:textId="3A42802F" w:rsidTr="0049209F">
        <w:trPr>
          <w:trHeight w:val="509"/>
        </w:trPr>
        <w:tc>
          <w:tcPr>
            <w:tcW w:w="31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EE26528" w14:textId="15258DB5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18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I felt physically tense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FB04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9B03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F889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06F5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C590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895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E8FDE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21982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4C3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D35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DC0B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7E53B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C588D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7542A" w:rsidRPr="00402D7E" w14:paraId="2CA704C7" w14:textId="3A1DEC05" w:rsidTr="00901A4A">
        <w:trPr>
          <w:trHeight w:val="509"/>
        </w:trPr>
        <w:tc>
          <w:tcPr>
            <w:tcW w:w="311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14:paraId="6A8B4A36" w14:textId="5CBA2002" w:rsidR="00B7542A" w:rsidRPr="00B7542A" w:rsidRDefault="0049209F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</w:t>
            </w:r>
            <w:r w:rsidR="00B7542A">
              <w:rPr>
                <w:rFonts w:ascii="Verdana" w:hAnsi="Verdana"/>
                <w:sz w:val="16"/>
                <w:szCs w:val="16"/>
              </w:rPr>
              <w:t>19</w:t>
            </w:r>
            <w:r w:rsidR="00366E62">
              <w:rPr>
                <w:rFonts w:ascii="Verdana" w:hAnsi="Verdana"/>
                <w:sz w:val="16"/>
                <w:szCs w:val="16"/>
              </w:rPr>
              <w:t>.</w:t>
            </w:r>
            <w:r w:rsidR="00B7542A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7542A" w:rsidRPr="00B7542A">
              <w:rPr>
                <w:rFonts w:ascii="Verdana" w:hAnsi="Verdana"/>
                <w:sz w:val="16"/>
                <w:szCs w:val="16"/>
              </w:rPr>
              <w:t>I had hot flashes</w:t>
            </w:r>
          </w:p>
        </w:tc>
        <w:tc>
          <w:tcPr>
            <w:tcW w:w="383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CAAE8C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3B23C51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7C0D7A7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C1DEE8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3553246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67670DC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8D4820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B8E66FF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1120D8B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C9E5D38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6B1160" w14:textId="77777777" w:rsidR="00B7542A" w:rsidRPr="00B7542A" w:rsidRDefault="00B7542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7542A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86563C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F44AA5" w14:textId="77777777" w:rsidR="00B7542A" w:rsidRPr="00B7542A" w:rsidRDefault="00B7542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901A4A" w:rsidRPr="00402D7E" w14:paraId="14DF3D68" w14:textId="77777777" w:rsidTr="00901A4A">
        <w:trPr>
          <w:trHeight w:val="509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32BE2" w14:textId="77777777" w:rsidR="00901A4A" w:rsidRDefault="00901A4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3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D7F63" w14:textId="1D48FC59" w:rsidR="00901A4A" w:rsidRPr="00B7542A" w:rsidRDefault="00901A4A" w:rsidP="00901A4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01A4A">
              <w:rPr>
                <w:rFonts w:ascii="Verdana" w:hAnsi="Verdana"/>
                <w:b/>
                <w:bCs/>
                <w:sz w:val="16"/>
                <w:szCs w:val="16"/>
              </w:rPr>
              <w:t>Total Scores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BC8E" w14:textId="77777777" w:rsidR="00901A4A" w:rsidRPr="00B7542A" w:rsidRDefault="00901A4A" w:rsidP="00B7542A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A40EB" w14:textId="77777777" w:rsidR="00901A4A" w:rsidRPr="00B7542A" w:rsidRDefault="00901A4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4D17" w14:textId="77777777" w:rsidR="00901A4A" w:rsidRPr="00B7542A" w:rsidRDefault="00901A4A" w:rsidP="00B7542A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9DB1EFB" w14:textId="77777777" w:rsidR="00224E01" w:rsidRDefault="00224E01" w:rsidP="00224E01">
      <w:pPr>
        <w:spacing w:after="0" w:line="240" w:lineRule="auto"/>
        <w:rPr>
          <w:rFonts w:ascii="Abadi" w:hAnsi="Abadi"/>
          <w:b/>
          <w:bCs/>
          <w:sz w:val="18"/>
          <w:szCs w:val="18"/>
        </w:rPr>
      </w:pPr>
    </w:p>
    <w:p w14:paraId="42FA6065" w14:textId="77777777" w:rsidR="00366E62" w:rsidRDefault="00366E62">
      <w:pPr>
        <w:spacing w:after="160" w:line="259" w:lineRule="auto"/>
        <w:rPr>
          <w:rFonts w:ascii="Abadi" w:hAnsi="Abadi"/>
          <w:b/>
          <w:bCs/>
          <w:sz w:val="18"/>
          <w:szCs w:val="18"/>
        </w:rPr>
      </w:pPr>
    </w:p>
    <w:p w14:paraId="2D94933F" w14:textId="77777777" w:rsidR="00366E62" w:rsidRPr="00366E62" w:rsidRDefault="00366E62" w:rsidP="00366E62">
      <w:pPr>
        <w:rPr>
          <w:rFonts w:ascii="Abadi" w:hAnsi="Abadi"/>
          <w:sz w:val="18"/>
          <w:szCs w:val="18"/>
        </w:rPr>
      </w:pPr>
    </w:p>
    <w:p w14:paraId="2FDCADA5" w14:textId="77777777" w:rsidR="00366E62" w:rsidRPr="00366E62" w:rsidRDefault="00366E62" w:rsidP="00366E62">
      <w:pPr>
        <w:rPr>
          <w:rFonts w:ascii="Abadi" w:hAnsi="Abadi"/>
          <w:sz w:val="18"/>
          <w:szCs w:val="18"/>
        </w:rPr>
      </w:pPr>
    </w:p>
    <w:p w14:paraId="1C5E4053" w14:textId="1A120C45" w:rsidR="00366E62" w:rsidRPr="00366E62" w:rsidRDefault="00366E62" w:rsidP="00366E62">
      <w:pPr>
        <w:tabs>
          <w:tab w:val="left" w:pos="1927"/>
        </w:tabs>
        <w:rPr>
          <w:rFonts w:ascii="Abadi" w:hAnsi="Abadi"/>
          <w:sz w:val="18"/>
          <w:szCs w:val="18"/>
        </w:rPr>
      </w:pPr>
      <w:r>
        <w:rPr>
          <w:rFonts w:ascii="Abadi" w:hAnsi="Abadi"/>
          <w:sz w:val="18"/>
          <w:szCs w:val="18"/>
        </w:rPr>
        <w:tab/>
      </w:r>
    </w:p>
    <w:p w14:paraId="36EC6A27" w14:textId="64AB48BB" w:rsidR="00366E62" w:rsidRPr="00366E62" w:rsidRDefault="00366E62" w:rsidP="00366E62">
      <w:pPr>
        <w:tabs>
          <w:tab w:val="left" w:pos="1927"/>
        </w:tabs>
        <w:rPr>
          <w:rFonts w:ascii="Abadi" w:hAnsi="Abadi"/>
          <w:sz w:val="18"/>
          <w:szCs w:val="18"/>
        </w:rPr>
        <w:sectPr w:rsidR="00366E62" w:rsidRPr="00366E62" w:rsidSect="00096003">
          <w:pgSz w:w="11906" w:h="16838"/>
          <w:pgMar w:top="1134" w:right="1440" w:bottom="1440" w:left="1440" w:header="0" w:footer="709" w:gutter="0"/>
          <w:cols w:space="708"/>
          <w:docGrid w:linePitch="360"/>
        </w:sectPr>
      </w:pPr>
      <w:r>
        <w:rPr>
          <w:rFonts w:ascii="Abadi" w:hAnsi="Abadi"/>
          <w:sz w:val="18"/>
          <w:szCs w:val="18"/>
        </w:rPr>
        <w:tab/>
      </w:r>
    </w:p>
    <w:p w14:paraId="4DECF584" w14:textId="77777777" w:rsidR="00366E62" w:rsidRDefault="00B7542A" w:rsidP="00366E62">
      <w:pPr>
        <w:spacing w:after="0"/>
        <w:rPr>
          <w:rFonts w:ascii="Verdana" w:hAnsi="Verdana"/>
          <w:b/>
          <w:bCs/>
          <w:sz w:val="18"/>
          <w:szCs w:val="18"/>
        </w:rPr>
      </w:pPr>
      <w:r w:rsidRPr="00366E62">
        <w:rPr>
          <w:rFonts w:ascii="Verdana" w:hAnsi="Verdana"/>
          <w:b/>
          <w:bCs/>
          <w:sz w:val="18"/>
          <w:szCs w:val="18"/>
        </w:rPr>
        <w:lastRenderedPageBreak/>
        <w:t>Sco</w:t>
      </w:r>
      <w:r w:rsidR="005A007E" w:rsidRPr="00366E62">
        <w:rPr>
          <w:rFonts w:ascii="Verdana" w:hAnsi="Verdana"/>
          <w:b/>
          <w:bCs/>
          <w:sz w:val="18"/>
          <w:szCs w:val="18"/>
        </w:rPr>
        <w:t>ring</w:t>
      </w:r>
      <w:r w:rsidR="00C218F5" w:rsidRPr="00366E62">
        <w:rPr>
          <w:rFonts w:ascii="Verdana" w:hAnsi="Verdana"/>
          <w:b/>
          <w:bCs/>
          <w:sz w:val="18"/>
          <w:szCs w:val="18"/>
        </w:rPr>
        <w:t xml:space="preserve"> and interpretation</w:t>
      </w:r>
      <w:r w:rsidR="005A007E" w:rsidRPr="00366E62">
        <w:rPr>
          <w:rFonts w:ascii="Verdana" w:hAnsi="Verdana"/>
          <w:b/>
          <w:bCs/>
          <w:sz w:val="18"/>
          <w:szCs w:val="18"/>
        </w:rPr>
        <w:t xml:space="preserve">:  </w:t>
      </w:r>
    </w:p>
    <w:p w14:paraId="1886208E" w14:textId="77777777" w:rsidR="00366E62" w:rsidRPr="0049209F" w:rsidRDefault="005A007E" w:rsidP="0049209F">
      <w:p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>The CWS comprises 19 items. Each CWS item is scored twice</w:t>
      </w:r>
      <w:r w:rsidR="00224E01" w:rsidRPr="0049209F">
        <w:rPr>
          <w:rFonts w:ascii="Verdana" w:hAnsi="Verdana"/>
          <w:sz w:val="18"/>
          <w:szCs w:val="18"/>
        </w:rPr>
        <w:t>.</w:t>
      </w:r>
    </w:p>
    <w:p w14:paraId="3847DD9B" w14:textId="3125F71F" w:rsidR="00366E62" w:rsidRPr="0049209F" w:rsidRDefault="005A007E" w:rsidP="0049209F">
      <w:p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>First, the client c</w:t>
      </w:r>
      <w:r w:rsidRPr="0049209F">
        <w:rPr>
          <w:rFonts w:ascii="Verdana" w:hAnsi="Verdana"/>
          <w:bCs/>
          <w:sz w:val="18"/>
          <w:szCs w:val="18"/>
        </w:rPr>
        <w:t>ircles the number</w:t>
      </w:r>
      <w:r w:rsidRPr="0049209F">
        <w:rPr>
          <w:rFonts w:ascii="Verdana" w:hAnsi="Verdana"/>
          <w:sz w:val="18"/>
          <w:szCs w:val="18"/>
        </w:rPr>
        <w:t xml:space="preserve"> most closely representing their personal experience (personal experience; range: 0-10)</w:t>
      </w:r>
      <w:r w:rsidR="00224E01" w:rsidRPr="0049209F">
        <w:rPr>
          <w:rFonts w:ascii="Verdana" w:hAnsi="Verdana"/>
          <w:sz w:val="18"/>
          <w:szCs w:val="18"/>
        </w:rPr>
        <w:t xml:space="preserve">.  </w:t>
      </w:r>
    </w:p>
    <w:p w14:paraId="73EFC6D3" w14:textId="6447F9D2" w:rsidR="005A007E" w:rsidRPr="0049209F" w:rsidRDefault="005A007E" w:rsidP="0049209F">
      <w:p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>Second, the client then rates the negative impact of that experience on normal daily activities by writing a number (negative impact: range: 0-10)</w:t>
      </w:r>
      <w:r w:rsidR="00224E01" w:rsidRPr="0049209F">
        <w:rPr>
          <w:rFonts w:ascii="Verdana" w:hAnsi="Verdana"/>
          <w:sz w:val="18"/>
          <w:szCs w:val="18"/>
        </w:rPr>
        <w:t>.</w:t>
      </w:r>
    </w:p>
    <w:p w14:paraId="00C6B224" w14:textId="77777777" w:rsidR="0049209F" w:rsidRDefault="005A007E" w:rsidP="0049209F">
      <w:p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>Two total scores are calculated, one each for personal experience and negative impact</w:t>
      </w:r>
      <w:r w:rsidR="00224E01" w:rsidRPr="0049209F">
        <w:rPr>
          <w:rFonts w:ascii="Verdana" w:hAnsi="Verdana"/>
          <w:sz w:val="18"/>
          <w:szCs w:val="18"/>
        </w:rPr>
        <w:t xml:space="preserve">: </w:t>
      </w:r>
    </w:p>
    <w:p w14:paraId="4CBECE38" w14:textId="77777777" w:rsidR="0049209F" w:rsidRDefault="005A007E" w:rsidP="0049209F">
      <w:pPr>
        <w:pStyle w:val="ListParagraph"/>
        <w:numPr>
          <w:ilvl w:val="0"/>
          <w:numId w:val="24"/>
        </w:num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 xml:space="preserve">A ‘personal experience’ score is calculated by summing the </w:t>
      </w:r>
      <w:r w:rsidRPr="0049209F">
        <w:rPr>
          <w:rFonts w:ascii="Verdana" w:hAnsi="Verdana"/>
          <w:i/>
          <w:iCs/>
          <w:sz w:val="18"/>
          <w:szCs w:val="18"/>
        </w:rPr>
        <w:t>circled</w:t>
      </w:r>
      <w:r w:rsidRPr="0049209F">
        <w:rPr>
          <w:rFonts w:ascii="Verdana" w:hAnsi="Verdana"/>
          <w:sz w:val="18"/>
          <w:szCs w:val="18"/>
        </w:rPr>
        <w:t xml:space="preserve"> responses for all 19 questions. The minimum total score possible is 0. The maximum total score possible is 190</w:t>
      </w:r>
    </w:p>
    <w:p w14:paraId="00C725B8" w14:textId="7D9B6000" w:rsidR="00366E62" w:rsidRPr="0049209F" w:rsidRDefault="005A007E" w:rsidP="0049209F">
      <w:pPr>
        <w:pStyle w:val="ListParagraph"/>
        <w:numPr>
          <w:ilvl w:val="0"/>
          <w:numId w:val="24"/>
        </w:num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hAnsi="Verdana"/>
          <w:sz w:val="18"/>
          <w:szCs w:val="18"/>
        </w:rPr>
        <w:t xml:space="preserve">A ‘negative experience’ score is obtained by summing the </w:t>
      </w:r>
      <w:r w:rsidRPr="0049209F">
        <w:rPr>
          <w:rFonts w:ascii="Verdana" w:hAnsi="Verdana"/>
          <w:i/>
          <w:iCs/>
          <w:sz w:val="18"/>
          <w:szCs w:val="18"/>
        </w:rPr>
        <w:t>written</w:t>
      </w:r>
      <w:r w:rsidRPr="0049209F">
        <w:rPr>
          <w:rFonts w:ascii="Verdana" w:hAnsi="Verdana"/>
          <w:sz w:val="18"/>
          <w:szCs w:val="18"/>
        </w:rPr>
        <w:t xml:space="preserve"> responses for all 19 questions. As with ‘personal experience’, the minimum total score possible is 0. The maximum total score possible is 190.</w:t>
      </w:r>
    </w:p>
    <w:p w14:paraId="477B2486" w14:textId="03FFA0C4" w:rsidR="00C218F5" w:rsidRPr="0049209F" w:rsidRDefault="005A007E" w:rsidP="0049209F">
      <w:pPr>
        <w:spacing w:before="120" w:line="240" w:lineRule="auto"/>
        <w:rPr>
          <w:rFonts w:ascii="Verdana" w:hAnsi="Verdana"/>
          <w:sz w:val="18"/>
          <w:szCs w:val="18"/>
        </w:rPr>
      </w:pPr>
      <w:r w:rsidRPr="0049209F">
        <w:rPr>
          <w:rFonts w:ascii="Verdana" w:eastAsia="Times New Roman" w:hAnsi="Verdana"/>
          <w:sz w:val="18"/>
          <w:szCs w:val="18"/>
          <w:shd w:val="clear" w:color="auto" w:fill="FFFFFF"/>
        </w:rPr>
        <w:t>Higher total scores reflect more severe withdrawal symptoms.</w:t>
      </w:r>
    </w:p>
    <w:p w14:paraId="7D1DB064" w14:textId="77777777" w:rsidR="00366E62" w:rsidRPr="00366E62" w:rsidRDefault="00366E62" w:rsidP="00366E62">
      <w:pPr>
        <w:spacing w:before="120" w:line="240" w:lineRule="auto"/>
        <w:rPr>
          <w:rFonts w:ascii="Verdana" w:hAnsi="Verdana"/>
          <w:b/>
          <w:bCs/>
          <w:sz w:val="18"/>
          <w:szCs w:val="18"/>
        </w:rPr>
      </w:pPr>
      <w:bookmarkStart w:id="1" w:name="_Hlk25139773"/>
    </w:p>
    <w:p w14:paraId="1659043D" w14:textId="5F989F21" w:rsidR="005A007E" w:rsidRPr="00366E62" w:rsidRDefault="005A007E" w:rsidP="00366E62">
      <w:pPr>
        <w:spacing w:after="0"/>
        <w:rPr>
          <w:rFonts w:ascii="Verdana" w:eastAsiaTheme="minorHAnsi" w:hAnsi="Verdana"/>
          <w:sz w:val="18"/>
          <w:szCs w:val="18"/>
        </w:rPr>
      </w:pPr>
      <w:r w:rsidRPr="00366E62">
        <w:rPr>
          <w:rFonts w:ascii="Verdana" w:hAnsi="Verdana"/>
          <w:b/>
          <w:bCs/>
          <w:sz w:val="18"/>
          <w:szCs w:val="18"/>
        </w:rPr>
        <w:t>Tool citation</w:t>
      </w:r>
      <w:r w:rsidRPr="00366E62">
        <w:rPr>
          <w:rFonts w:ascii="Verdana" w:hAnsi="Verdana"/>
          <w:sz w:val="18"/>
          <w:szCs w:val="18"/>
        </w:rPr>
        <w:t xml:space="preserve">: </w:t>
      </w:r>
      <w:r w:rsidRPr="00366E62">
        <w:rPr>
          <w:rFonts w:ascii="Verdana" w:eastAsiaTheme="minorHAnsi" w:hAnsi="Verdana"/>
          <w:sz w:val="18"/>
          <w:szCs w:val="18"/>
        </w:rPr>
        <w:t xml:space="preserve">Allsop, D., Norberg, M., Copeland, J., et al. </w:t>
      </w:r>
      <w:r w:rsidRPr="00366E62">
        <w:rPr>
          <w:rFonts w:ascii="Verdana" w:eastAsiaTheme="minorHAnsi" w:hAnsi="Verdana"/>
          <w:i/>
          <w:iCs/>
          <w:sz w:val="18"/>
          <w:szCs w:val="18"/>
        </w:rPr>
        <w:t>The Cannabis Withdrawal Scale development: patterns and predictors of cannabis withdrawal and distress.</w:t>
      </w:r>
      <w:r w:rsidRPr="00366E62">
        <w:rPr>
          <w:rFonts w:ascii="Verdana" w:eastAsiaTheme="minorHAnsi" w:hAnsi="Verdana"/>
          <w:sz w:val="18"/>
          <w:szCs w:val="18"/>
        </w:rPr>
        <w:t xml:space="preserve"> Drug and Alcohol Dependence, 2011. </w:t>
      </w:r>
      <w:r w:rsidRPr="00366E62">
        <w:rPr>
          <w:rFonts w:ascii="Verdana" w:eastAsiaTheme="minorHAnsi" w:hAnsi="Verdana"/>
          <w:b/>
          <w:bCs/>
          <w:sz w:val="18"/>
          <w:szCs w:val="18"/>
        </w:rPr>
        <w:t>119</w:t>
      </w:r>
      <w:r w:rsidRPr="00366E62">
        <w:rPr>
          <w:rFonts w:ascii="Verdana" w:eastAsiaTheme="minorHAnsi" w:hAnsi="Verdana"/>
          <w:sz w:val="18"/>
          <w:szCs w:val="18"/>
        </w:rPr>
        <w:t>(1-2): 123-129.</w:t>
      </w:r>
    </w:p>
    <w:p w14:paraId="13E1847F" w14:textId="77777777" w:rsidR="00366E62" w:rsidRPr="00366E62" w:rsidRDefault="00366E62" w:rsidP="00366E62">
      <w:pPr>
        <w:spacing w:after="0"/>
        <w:rPr>
          <w:rFonts w:ascii="Verdana" w:eastAsiaTheme="minorHAnsi" w:hAnsi="Verdana" w:cstheme="minorHAnsi"/>
          <w:b/>
          <w:bCs/>
          <w:sz w:val="18"/>
          <w:szCs w:val="18"/>
        </w:rPr>
      </w:pPr>
    </w:p>
    <w:p w14:paraId="1C047037" w14:textId="7704F2BF" w:rsidR="00711D4E" w:rsidRPr="00366E62" w:rsidRDefault="005A007E" w:rsidP="00366E62">
      <w:pPr>
        <w:spacing w:after="0"/>
        <w:rPr>
          <w:rFonts w:ascii="Verdana" w:eastAsiaTheme="minorHAnsi" w:hAnsi="Verdana" w:cstheme="minorHAnsi"/>
          <w:sz w:val="18"/>
          <w:szCs w:val="18"/>
        </w:rPr>
      </w:pPr>
      <w:r w:rsidRPr="00366E62">
        <w:rPr>
          <w:rFonts w:ascii="Verdana" w:eastAsiaTheme="minorHAnsi" w:hAnsi="Verdana" w:cstheme="minorHAnsi"/>
          <w:b/>
          <w:bCs/>
          <w:sz w:val="18"/>
          <w:szCs w:val="18"/>
        </w:rPr>
        <w:t>Further information</w:t>
      </w:r>
      <w:r w:rsidRPr="00366E62">
        <w:rPr>
          <w:rFonts w:ascii="Verdana" w:eastAsiaTheme="minorHAnsi" w:hAnsi="Verdana" w:cstheme="minorHAnsi"/>
          <w:sz w:val="18"/>
          <w:szCs w:val="18"/>
        </w:rPr>
        <w:t xml:space="preserve">: </w:t>
      </w:r>
      <w:bookmarkEnd w:id="0"/>
      <w:bookmarkEnd w:id="1"/>
      <w:r w:rsidRPr="00366E62">
        <w:rPr>
          <w:rFonts w:ascii="Verdana" w:eastAsiaTheme="minorHAnsi" w:hAnsi="Verdana" w:cstheme="minorHAnsi"/>
          <w:sz w:val="18"/>
          <w:szCs w:val="18"/>
        </w:rPr>
        <w:t xml:space="preserve"> </w:t>
      </w:r>
      <w:r w:rsidR="00C218F5" w:rsidRPr="00366E62">
        <w:rPr>
          <w:rFonts w:ascii="Verdana" w:hAnsi="Verdana"/>
          <w:sz w:val="18"/>
          <w:szCs w:val="18"/>
        </w:rPr>
        <w:t xml:space="preserve">Fischer, J.A., Roche, A.M., and Duraisingam, V. </w:t>
      </w:r>
      <w:r w:rsidR="00C218F5" w:rsidRPr="00366E62">
        <w:rPr>
          <w:rFonts w:ascii="Verdana" w:hAnsi="Verdana"/>
          <w:i/>
          <w:sz w:val="18"/>
          <w:szCs w:val="18"/>
        </w:rPr>
        <w:t>Cannabis Withdrawal Scale (CWS): description, strengths and knowledge gaps</w:t>
      </w:r>
      <w:r w:rsidR="00C218F5" w:rsidRPr="00366E62">
        <w:rPr>
          <w:rFonts w:ascii="Verdana" w:hAnsi="Verdana"/>
          <w:sz w:val="18"/>
          <w:szCs w:val="18"/>
        </w:rPr>
        <w:t>. 2021, National Centre for Education and Training on Addiction (NCETA), Flinders University: Adelaide, South Australia.</w:t>
      </w:r>
    </w:p>
    <w:sectPr w:rsidR="00711D4E" w:rsidRPr="00366E62" w:rsidSect="00096003">
      <w:footerReference w:type="default" r:id="rId7"/>
      <w:pgSz w:w="11906" w:h="16838"/>
      <w:pgMar w:top="1134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D099C" w14:textId="77777777" w:rsidR="00327985" w:rsidRDefault="00327985">
      <w:pPr>
        <w:spacing w:after="0" w:line="240" w:lineRule="auto"/>
      </w:pPr>
      <w:r>
        <w:separator/>
      </w:r>
    </w:p>
  </w:endnote>
  <w:endnote w:type="continuationSeparator" w:id="0">
    <w:p w14:paraId="7AC1DB94" w14:textId="77777777" w:rsidR="00327985" w:rsidRDefault="003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P6EC0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2"/>
        <w:szCs w:val="12"/>
      </w:rPr>
      <w:id w:val="-1134175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E98F9" w14:textId="77777777" w:rsidR="00366E62" w:rsidRPr="00366E62" w:rsidRDefault="00366E62" w:rsidP="000A78C4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r>
          <w:rPr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6B157EBD" wp14:editId="295FE9C9">
              <wp:simplePos x="0" y="0"/>
              <wp:positionH relativeFrom="margin">
                <wp:posOffset>4571999</wp:posOffset>
              </wp:positionH>
              <wp:positionV relativeFrom="paragraph">
                <wp:posOffset>-11616</wp:posOffset>
              </wp:positionV>
              <wp:extent cx="1153085" cy="568744"/>
              <wp:effectExtent l="0" t="0" r="0" b="317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1215" cy="5727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432F4646" w14:textId="77777777" w:rsidR="00366E62" w:rsidRPr="00366E62" w:rsidRDefault="00366E62" w:rsidP="000A78C4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r w:rsidRPr="00366E62">
          <w:rPr>
            <w:rFonts w:ascii="Verdana" w:hAnsi="Verdana"/>
            <w:sz w:val="12"/>
            <w:szCs w:val="12"/>
          </w:rPr>
          <w:t>Produced by the National Centre for Education and Training on Addiction (NCETA), Flinders University</w:t>
        </w:r>
      </w:p>
      <w:p w14:paraId="07A7BFA7" w14:textId="77777777" w:rsidR="00366E62" w:rsidRPr="00366E62" w:rsidRDefault="00366E62" w:rsidP="000A78C4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r w:rsidRPr="00366E62">
          <w:rPr>
            <w:rFonts w:ascii="Verdana" w:hAnsi="Verdana"/>
            <w:sz w:val="12"/>
            <w:szCs w:val="12"/>
          </w:rPr>
          <w:t>© 2021 National Centre for Education and Training on Addiction (NCETA), Flinders University</w:t>
        </w:r>
      </w:p>
      <w:p w14:paraId="49702370" w14:textId="77777777" w:rsidR="00366E62" w:rsidRPr="00366E62" w:rsidRDefault="00901A4A" w:rsidP="000A78C4">
        <w:pPr>
          <w:pStyle w:val="Footer"/>
          <w:pBdr>
            <w:top w:val="single" w:sz="4" w:space="1" w:color="D9D9D9" w:themeColor="background1" w:themeShade="D9"/>
          </w:pBdr>
          <w:spacing w:after="0" w:line="240" w:lineRule="auto"/>
          <w:rPr>
            <w:rFonts w:ascii="Verdana" w:hAnsi="Verdana"/>
            <w:sz w:val="12"/>
            <w:szCs w:val="12"/>
          </w:rPr>
        </w:pPr>
        <w:hyperlink r:id="rId2" w:history="1">
          <w:r w:rsidR="00366E62" w:rsidRPr="00366E62">
            <w:rPr>
              <w:rStyle w:val="Hyperlink"/>
              <w:rFonts w:ascii="Verdana" w:hAnsi="Verdana"/>
              <w:sz w:val="12"/>
              <w:szCs w:val="12"/>
            </w:rPr>
            <w:t>www.nceta.flinders.edu.au</w:t>
          </w:r>
        </w:hyperlink>
        <w:r w:rsidR="00366E62" w:rsidRPr="00366E62">
          <w:rPr>
            <w:rFonts w:ascii="Verdana" w:hAnsi="Verdana"/>
            <w:sz w:val="12"/>
            <w:szCs w:val="12"/>
          </w:rPr>
          <w:t xml:space="preserve"> | </w:t>
        </w:r>
        <w:hyperlink r:id="rId3" w:history="1">
          <w:r w:rsidR="00366E62" w:rsidRPr="00366E62">
            <w:rPr>
              <w:rStyle w:val="Hyperlink"/>
              <w:rFonts w:ascii="Verdana" w:hAnsi="Verdana"/>
              <w:sz w:val="12"/>
              <w:szCs w:val="12"/>
            </w:rPr>
            <w:t>nceta@flinders.edu.au</w:t>
          </w:r>
        </w:hyperlink>
        <w:r w:rsidR="00366E62" w:rsidRPr="00366E62">
          <w:rPr>
            <w:rFonts w:ascii="Verdana" w:hAnsi="Verdana"/>
            <w:sz w:val="12"/>
            <w:szCs w:val="12"/>
          </w:rPr>
          <w:t xml:space="preserve"> | 08 8201 7535</w:t>
        </w:r>
      </w:p>
      <w:p w14:paraId="6E0C5B3F" w14:textId="77777777" w:rsidR="00366E62" w:rsidRPr="00224E01" w:rsidRDefault="00366E62" w:rsidP="00096003">
        <w:pPr>
          <w:pStyle w:val="Footer"/>
          <w:pBdr>
            <w:top w:val="single" w:sz="4" w:space="1" w:color="D9D9D9" w:themeColor="background1" w:themeShade="D9"/>
          </w:pBdr>
          <w:tabs>
            <w:tab w:val="left" w:pos="7770"/>
          </w:tabs>
          <w:spacing w:after="0" w:line="240" w:lineRule="auto"/>
          <w:rPr>
            <w:sz w:val="12"/>
            <w:szCs w:val="12"/>
          </w:rPr>
        </w:pPr>
        <w:r w:rsidRPr="00366E62">
          <w:rPr>
            <w:rFonts w:ascii="Verdana" w:hAnsi="Verdana"/>
            <w:noProof/>
            <w:sz w:val="12"/>
            <w:szCs w:val="12"/>
          </w:rPr>
          <w:tab/>
        </w:r>
        <w:r>
          <w:rPr>
            <w:noProof/>
            <w:sz w:val="12"/>
            <w:szCs w:val="12"/>
          </w:rPr>
          <w:tab/>
        </w:r>
        <w:r>
          <w:rPr>
            <w:noProof/>
            <w:sz w:val="12"/>
            <w:szCs w:val="12"/>
          </w:rPr>
          <w:tab/>
        </w:r>
        <w:r>
          <w:rPr>
            <w:noProof/>
            <w:sz w:val="12"/>
            <w:szCs w:val="12"/>
          </w:rPr>
          <w:tab/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8B970" w14:textId="77777777" w:rsidR="00327985" w:rsidRDefault="00327985">
      <w:pPr>
        <w:spacing w:after="0" w:line="240" w:lineRule="auto"/>
      </w:pPr>
      <w:r>
        <w:separator/>
      </w:r>
    </w:p>
  </w:footnote>
  <w:footnote w:type="continuationSeparator" w:id="0">
    <w:p w14:paraId="529EBBE4" w14:textId="77777777" w:rsidR="00327985" w:rsidRDefault="0032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71BB"/>
    <w:multiLevelType w:val="hybridMultilevel"/>
    <w:tmpl w:val="7D2EF4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9040E"/>
    <w:multiLevelType w:val="hybridMultilevel"/>
    <w:tmpl w:val="90B868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71132"/>
    <w:multiLevelType w:val="hybridMultilevel"/>
    <w:tmpl w:val="CB1CB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7339"/>
    <w:multiLevelType w:val="hybridMultilevel"/>
    <w:tmpl w:val="26BE9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27ABA"/>
    <w:multiLevelType w:val="hybridMultilevel"/>
    <w:tmpl w:val="E8E8C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0364F"/>
    <w:multiLevelType w:val="hybridMultilevel"/>
    <w:tmpl w:val="85523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0569"/>
    <w:multiLevelType w:val="hybridMultilevel"/>
    <w:tmpl w:val="EF986300"/>
    <w:lvl w:ilvl="0" w:tplc="D83AB832">
      <w:start w:val="1"/>
      <w:numFmt w:val="decimal"/>
      <w:lvlText w:val="%1."/>
      <w:lvlJc w:val="left"/>
      <w:pPr>
        <w:ind w:left="360" w:hanging="360"/>
      </w:pPr>
      <w:rPr>
        <w:rFonts w:cs="AdvP6EC0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E83E84"/>
    <w:multiLevelType w:val="hybridMultilevel"/>
    <w:tmpl w:val="F9AE2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20BF4"/>
    <w:multiLevelType w:val="hybridMultilevel"/>
    <w:tmpl w:val="48AE97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283F4F"/>
    <w:multiLevelType w:val="hybridMultilevel"/>
    <w:tmpl w:val="C358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177215"/>
    <w:multiLevelType w:val="hybridMultilevel"/>
    <w:tmpl w:val="CE74B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F270D"/>
    <w:multiLevelType w:val="hybridMultilevel"/>
    <w:tmpl w:val="9C063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F7F41"/>
    <w:multiLevelType w:val="hybridMultilevel"/>
    <w:tmpl w:val="57E8CB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B05A78"/>
    <w:multiLevelType w:val="hybridMultilevel"/>
    <w:tmpl w:val="13D6393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778F4"/>
    <w:multiLevelType w:val="hybridMultilevel"/>
    <w:tmpl w:val="66F2B1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384178"/>
    <w:multiLevelType w:val="hybridMultilevel"/>
    <w:tmpl w:val="339AF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40F0B"/>
    <w:multiLevelType w:val="hybridMultilevel"/>
    <w:tmpl w:val="908E3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74D09"/>
    <w:multiLevelType w:val="hybridMultilevel"/>
    <w:tmpl w:val="374CAE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C5664"/>
    <w:multiLevelType w:val="hybridMultilevel"/>
    <w:tmpl w:val="E780C6F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174FA"/>
    <w:multiLevelType w:val="hybridMultilevel"/>
    <w:tmpl w:val="D5827DF6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 w15:restartNumberingAfterBreak="0">
    <w:nsid w:val="64B41038"/>
    <w:multiLevelType w:val="hybridMultilevel"/>
    <w:tmpl w:val="C32AD3C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8D150A"/>
    <w:multiLevelType w:val="hybridMultilevel"/>
    <w:tmpl w:val="B254C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56E2B"/>
    <w:multiLevelType w:val="hybridMultilevel"/>
    <w:tmpl w:val="55FE843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BE0C6E"/>
    <w:multiLevelType w:val="hybridMultilevel"/>
    <w:tmpl w:val="20A01C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0"/>
  </w:num>
  <w:num w:numId="4">
    <w:abstractNumId w:val="12"/>
  </w:num>
  <w:num w:numId="5">
    <w:abstractNumId w:val="6"/>
  </w:num>
  <w:num w:numId="6">
    <w:abstractNumId w:val="20"/>
  </w:num>
  <w:num w:numId="7">
    <w:abstractNumId w:val="19"/>
  </w:num>
  <w:num w:numId="8">
    <w:abstractNumId w:val="7"/>
  </w:num>
  <w:num w:numId="9">
    <w:abstractNumId w:val="10"/>
  </w:num>
  <w:num w:numId="10">
    <w:abstractNumId w:val="1"/>
  </w:num>
  <w:num w:numId="11">
    <w:abstractNumId w:val="23"/>
  </w:num>
  <w:num w:numId="12">
    <w:abstractNumId w:val="21"/>
  </w:num>
  <w:num w:numId="13">
    <w:abstractNumId w:val="3"/>
  </w:num>
  <w:num w:numId="14">
    <w:abstractNumId w:val="15"/>
  </w:num>
  <w:num w:numId="15">
    <w:abstractNumId w:val="8"/>
  </w:num>
  <w:num w:numId="16">
    <w:abstractNumId w:val="13"/>
  </w:num>
  <w:num w:numId="17">
    <w:abstractNumId w:val="18"/>
  </w:num>
  <w:num w:numId="18">
    <w:abstractNumId w:val="5"/>
  </w:num>
  <w:num w:numId="19">
    <w:abstractNumId w:val="17"/>
  </w:num>
  <w:num w:numId="20">
    <w:abstractNumId w:val="2"/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C218F5"/>
    <w:rsid w:val="00096003"/>
    <w:rsid w:val="000F4E4C"/>
    <w:rsid w:val="00224E01"/>
    <w:rsid w:val="00327985"/>
    <w:rsid w:val="00366E62"/>
    <w:rsid w:val="0049209F"/>
    <w:rsid w:val="005A007E"/>
    <w:rsid w:val="007000AB"/>
    <w:rsid w:val="0080512D"/>
    <w:rsid w:val="00901A4A"/>
    <w:rsid w:val="00AF3699"/>
    <w:rsid w:val="00B7542A"/>
    <w:rsid w:val="00C2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D55C44"/>
  <w15:chartTrackingRefBased/>
  <w15:docId w15:val="{23E08520-EBE7-404F-B3A3-849C1EA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F5"/>
    <w:pPr>
      <w:spacing w:after="120" w:line="276" w:lineRule="auto"/>
    </w:pPr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8F5"/>
    <w:pPr>
      <w:keepNext/>
      <w:keepLines/>
      <w:spacing w:after="240" w:line="240" w:lineRule="auto"/>
      <w:outlineLvl w:val="0"/>
    </w:pPr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8F5"/>
    <w:pPr>
      <w:keepNext/>
      <w:spacing w:before="240" w:line="240" w:lineRule="auto"/>
      <w:outlineLvl w:val="1"/>
    </w:pPr>
    <w:rPr>
      <w:rFonts w:ascii="Abadi" w:eastAsiaTheme="majorEastAsia" w:hAnsi="Abadi" w:cstheme="majorBidi"/>
      <w:b/>
      <w:bCs/>
      <w:iCs/>
      <w:color w:val="44546A" w:themeColor="text2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8F5"/>
    <w:pPr>
      <w:keepNext/>
      <w:spacing w:before="240" w:after="240"/>
      <w:outlineLvl w:val="2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8F5"/>
    <w:rPr>
      <w:rFonts w:ascii="Abadi" w:eastAsiaTheme="majorEastAsia" w:hAnsi="Abadi" w:cstheme="majorBidi"/>
      <w:b/>
      <w:color w:val="385623" w:themeColor="accent6" w:themeShade="8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8F5"/>
    <w:rPr>
      <w:rFonts w:ascii="Abadi" w:eastAsiaTheme="majorEastAsia" w:hAnsi="Abadi" w:cstheme="majorBidi"/>
      <w:b/>
      <w:bCs/>
      <w:iCs/>
      <w:color w:val="44546A" w:themeColor="text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218F5"/>
    <w:rPr>
      <w:rFonts w:eastAsiaTheme="majorEastAsia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218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8F5"/>
    <w:rPr>
      <w:color w:val="0000FF"/>
      <w:u w:val="single"/>
    </w:rPr>
  </w:style>
  <w:style w:type="table" w:styleId="TableGrid">
    <w:name w:val="Table Grid"/>
    <w:basedOn w:val="TableNormal"/>
    <w:uiPriority w:val="39"/>
    <w:rsid w:val="00C218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218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8F5"/>
    <w:rPr>
      <w:rFonts w:eastAsiaTheme="minorEastAsia" w:cs="Times New Roman"/>
      <w:sz w:val="20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218F5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218F5"/>
    <w:rPr>
      <w:rFonts w:ascii="Calibri" w:eastAsiaTheme="minorEastAsia" w:hAnsi="Calibri" w:cs="Calibri"/>
      <w:noProof/>
      <w:sz w:val="20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218F5"/>
    <w:rPr>
      <w:rFonts w:eastAsiaTheme="minorEastAsia" w:cs="Times New Roman"/>
      <w:sz w:val="20"/>
      <w:szCs w:val="24"/>
    </w:rPr>
  </w:style>
  <w:style w:type="character" w:customStyle="1" w:styleId="ref-title">
    <w:name w:val="ref-title"/>
    <w:basedOn w:val="DefaultParagraphFont"/>
    <w:rsid w:val="00C218F5"/>
  </w:style>
  <w:style w:type="character" w:customStyle="1" w:styleId="ref-journal">
    <w:name w:val="ref-journal"/>
    <w:basedOn w:val="DefaultParagraphFont"/>
    <w:rsid w:val="00C218F5"/>
  </w:style>
  <w:style w:type="character" w:customStyle="1" w:styleId="ref-vol">
    <w:name w:val="ref-vol"/>
    <w:basedOn w:val="DefaultParagraphFont"/>
    <w:rsid w:val="00C218F5"/>
  </w:style>
  <w:style w:type="paragraph" w:customStyle="1" w:styleId="EndNoteBibliographyTitle">
    <w:name w:val="EndNote Bibliography Title"/>
    <w:basedOn w:val="Normal"/>
    <w:link w:val="EndNoteBibliographyTitleChar"/>
    <w:rsid w:val="00C218F5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218F5"/>
    <w:rPr>
      <w:rFonts w:ascii="Calibri" w:eastAsiaTheme="minorEastAsia" w:hAnsi="Calibri" w:cs="Calibri"/>
      <w:noProof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21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8F5"/>
    <w:rPr>
      <w:rFonts w:eastAsiaTheme="minorEastAsi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8F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8F5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18F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8F5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8F5"/>
    <w:rPr>
      <w:rFonts w:eastAsiaTheme="minorEastAsia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8F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8F5"/>
    <w:rPr>
      <w:rFonts w:eastAsiaTheme="minorEastAsia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1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ceta@flinders.edu.au" TargetMode="External"/><Relationship Id="rId2" Type="http://schemas.openxmlformats.org/officeDocument/2006/relationships/hyperlink" Target="http://www.nceta.flinders.edu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Fischer</dc:creator>
  <cp:keywords/>
  <dc:description/>
  <cp:lastModifiedBy>Jane Fischer</cp:lastModifiedBy>
  <cp:revision>3</cp:revision>
  <dcterms:created xsi:type="dcterms:W3CDTF">2021-05-18T04:56:00Z</dcterms:created>
  <dcterms:modified xsi:type="dcterms:W3CDTF">2021-05-19T00:57:00Z</dcterms:modified>
</cp:coreProperties>
</file>