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17943" w14:textId="53BB1466" w:rsidR="005F116C" w:rsidRPr="00310E3D" w:rsidRDefault="005F116C" w:rsidP="009E57F7">
      <w:pPr>
        <w:jc w:val="center"/>
        <w:rPr>
          <w:rStyle w:val="Heading1Char"/>
          <w:rFonts w:ascii="Verdana" w:hAnsi="Verdana"/>
          <w:color w:val="auto"/>
          <w:sz w:val="22"/>
          <w:szCs w:val="22"/>
        </w:rPr>
      </w:pPr>
      <w:bookmarkStart w:id="0" w:name="_Hlk51849328"/>
      <w:bookmarkStart w:id="1" w:name="_Hlk536613771"/>
      <w:r w:rsidRPr="00310E3D">
        <w:rPr>
          <w:rStyle w:val="Heading1Char"/>
          <w:rFonts w:ascii="Verdana" w:hAnsi="Verdana"/>
          <w:color w:val="auto"/>
          <w:sz w:val="22"/>
          <w:szCs w:val="22"/>
        </w:rPr>
        <w:t>Objective Opiate Withdrawal Scale (OOWS)</w:t>
      </w:r>
      <w:bookmarkEnd w:id="0"/>
      <w:r w:rsidR="009E57F7" w:rsidRPr="00310E3D">
        <w:rPr>
          <w:rStyle w:val="Heading1Char"/>
          <w:rFonts w:ascii="Verdana" w:hAnsi="Verdana"/>
          <w:color w:val="auto"/>
          <w:sz w:val="22"/>
          <w:szCs w:val="22"/>
        </w:rPr>
        <w:t xml:space="preserve"> </w:t>
      </w:r>
    </w:p>
    <w:p w14:paraId="4B0A62EC" w14:textId="77777777" w:rsidR="00AD53F2" w:rsidRPr="00310E3D" w:rsidRDefault="00AD53F2" w:rsidP="00310E3D">
      <w:pPr>
        <w:spacing w:after="0"/>
        <w:rPr>
          <w:rStyle w:val="Heading1Char"/>
          <w:rFonts w:ascii="Verdana" w:hAnsi="Verdana"/>
          <w:color w:val="auto"/>
          <w:sz w:val="16"/>
          <w:szCs w:val="16"/>
        </w:rPr>
      </w:pPr>
    </w:p>
    <w:p w14:paraId="37EA2813" w14:textId="3E2CBB15" w:rsidR="009E57F7" w:rsidRPr="00AD53F2" w:rsidRDefault="00AD53F2" w:rsidP="00310E3D">
      <w:pPr>
        <w:spacing w:beforeLines="40" w:before="96" w:after="0" w:line="360" w:lineRule="auto"/>
        <w:rPr>
          <w:rStyle w:val="Heading1Char"/>
          <w:rFonts w:ascii="Verdana" w:hAnsi="Verdana"/>
          <w:sz w:val="16"/>
          <w:szCs w:val="16"/>
        </w:rPr>
      </w:pPr>
      <w:r w:rsidRPr="00AD53F2">
        <w:rPr>
          <w:rFonts w:ascii="Verdana" w:hAnsi="Verdana" w:cs="Arial"/>
          <w:b/>
          <w:bCs/>
          <w:sz w:val="16"/>
          <w:szCs w:val="16"/>
        </w:rPr>
        <w:t>Circle (o) one response for each question</w:t>
      </w:r>
    </w:p>
    <w:tbl>
      <w:tblPr>
        <w:tblStyle w:val="TableGrid"/>
        <w:tblW w:w="922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1591"/>
        <w:gridCol w:w="2054"/>
      </w:tblGrid>
      <w:tr w:rsidR="00AD53F2" w:rsidRPr="00F7625C" w14:paraId="02CCB02F" w14:textId="193D46E9" w:rsidTr="00F262F6">
        <w:trPr>
          <w:trHeight w:val="579"/>
        </w:trPr>
        <w:tc>
          <w:tcPr>
            <w:tcW w:w="5580" w:type="dxa"/>
            <w:tcBorders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BE44A47" w14:textId="0B10151E" w:rsidR="00AD53F2" w:rsidRPr="00F262F6" w:rsidRDefault="00F262F6" w:rsidP="00F262F6">
            <w:pPr>
              <w:spacing w:beforeLines="40" w:before="96" w:after="0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Q1.  </w:t>
            </w:r>
            <w:r w:rsidR="00AD53F2" w:rsidRPr="00F262F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Yawning </w:t>
            </w:r>
            <w:r w:rsidR="00AD53F2" w:rsidRPr="00F262F6">
              <w:rPr>
                <w:rFonts w:ascii="Verdana" w:hAnsi="Verdana" w:cs="Arial"/>
                <w:sz w:val="12"/>
                <w:szCs w:val="12"/>
              </w:rPr>
              <w:t>(frequency = # of yawns per observation period)</w:t>
            </w:r>
          </w:p>
        </w:tc>
        <w:tc>
          <w:tcPr>
            <w:tcW w:w="1591" w:type="dxa"/>
            <w:tcBorders>
              <w:left w:val="single" w:sz="2" w:space="0" w:color="auto"/>
              <w:bottom w:val="nil"/>
            </w:tcBorders>
            <w:shd w:val="clear" w:color="auto" w:fill="E7E6E6" w:themeFill="background2"/>
            <w:vAlign w:val="center"/>
          </w:tcPr>
          <w:p w14:paraId="55F71628" w14:textId="5D03CC06" w:rsidR="00AD53F2" w:rsidRPr="00F262F6" w:rsidRDefault="00AD53F2" w:rsidP="00310E3D">
            <w:p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Not at all </w:t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  <w:tc>
          <w:tcPr>
            <w:tcW w:w="205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5ED60932" w14:textId="516D4DAB" w:rsidR="00AD53F2" w:rsidRPr="00F262F6" w:rsidRDefault="00F262F6" w:rsidP="00F262F6">
            <w:pPr>
              <w:pStyle w:val="ListParagraph"/>
              <w:spacing w:beforeLines="40" w:before="96" w:after="0"/>
              <w:ind w:left="42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1 </w:t>
            </w:r>
            <w:r w:rsidR="00AD53F2"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or more </w:t>
            </w:r>
            <w:r w:rsidR="00AD53F2" w:rsidRPr="00F262F6">
              <w:rPr>
                <w:rFonts w:ascii="Verdana" w:hAnsi="Verdana"/>
                <w:sz w:val="16"/>
                <w:szCs w:val="16"/>
              </w:rPr>
              <w:sym w:font="Webdings" w:char="F063"/>
            </w:r>
            <w:r w:rsidR="00AD53F2"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="00AD53F2" w:rsidRPr="00F262F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</w:tr>
      <w:tr w:rsidR="00AD53F2" w:rsidRPr="00F7625C" w14:paraId="15AB37A7" w14:textId="5AC0784C" w:rsidTr="00F262F6">
        <w:trPr>
          <w:trHeight w:val="579"/>
        </w:trPr>
        <w:tc>
          <w:tcPr>
            <w:tcW w:w="558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C7992" w14:textId="0B099E71" w:rsidR="00AD53F2" w:rsidRPr="00F262F6" w:rsidRDefault="00F262F6" w:rsidP="00F262F6">
            <w:pPr>
              <w:spacing w:beforeLines="40" w:before="96" w:after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262F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Q2.  </w:t>
            </w:r>
            <w:proofErr w:type="spellStart"/>
            <w:r w:rsidR="00AD53F2" w:rsidRPr="00F262F6">
              <w:rPr>
                <w:rFonts w:ascii="Verdana" w:hAnsi="Verdana" w:cs="Arial"/>
                <w:b/>
                <w:bCs/>
                <w:sz w:val="16"/>
                <w:szCs w:val="16"/>
              </w:rPr>
              <w:t>Rhinorrhea</w:t>
            </w:r>
            <w:proofErr w:type="spellEnd"/>
            <w:r w:rsidR="00AD53F2" w:rsidRPr="00F262F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AD53F2" w:rsidRPr="00F262F6">
              <w:rPr>
                <w:rFonts w:ascii="Verdana" w:hAnsi="Verdana" w:cs="Arial"/>
                <w:sz w:val="12"/>
                <w:szCs w:val="12"/>
              </w:rPr>
              <w:t>(frequency = # of sniffs per observation period</w:t>
            </w:r>
            <w:r w:rsidR="00AD53F2" w:rsidRPr="00F262F6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1591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vAlign w:val="center"/>
          </w:tcPr>
          <w:p w14:paraId="6249ECB5" w14:textId="5B33AD99" w:rsidR="00AD53F2" w:rsidRPr="00F262F6" w:rsidRDefault="00AD53F2" w:rsidP="00F262F6">
            <w:pPr>
              <w:pStyle w:val="ListParagraph"/>
              <w:numPr>
                <w:ilvl w:val="1"/>
                <w:numId w:val="8"/>
              </w:num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4D3DD9E" w14:textId="2B5194A0" w:rsidR="00AD53F2" w:rsidRPr="00F262F6" w:rsidRDefault="00F262F6" w:rsidP="00F262F6">
            <w:pPr>
              <w:pStyle w:val="ListParagraph"/>
              <w:spacing w:beforeLines="40" w:before="96" w:after="0"/>
              <w:ind w:left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1 </w:t>
            </w:r>
            <w:r w:rsidR="00AD53F2"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or more </w:t>
            </w:r>
            <w:r w:rsidR="00AD53F2" w:rsidRPr="00F262F6">
              <w:rPr>
                <w:rFonts w:ascii="Verdana" w:hAnsi="Verdana"/>
                <w:sz w:val="16"/>
                <w:szCs w:val="16"/>
              </w:rPr>
              <w:sym w:font="Webdings" w:char="F063"/>
            </w:r>
            <w:r w:rsidR="00AD53F2"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="00AD53F2" w:rsidRPr="00F262F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</w:tr>
      <w:tr w:rsidR="00AD53F2" w:rsidRPr="00F7625C" w14:paraId="27866760" w14:textId="46596519" w:rsidTr="00F262F6">
        <w:trPr>
          <w:trHeight w:val="579"/>
        </w:trPr>
        <w:tc>
          <w:tcPr>
            <w:tcW w:w="5580" w:type="dxa"/>
            <w:tcBorders>
              <w:top w:val="nil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B14FC3F" w14:textId="547AEE02" w:rsidR="00AD53F2" w:rsidRPr="00F262F6" w:rsidRDefault="00F262F6" w:rsidP="00F262F6">
            <w:pPr>
              <w:spacing w:beforeLines="40" w:before="96" w:after="0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Q3.  </w:t>
            </w:r>
            <w:r w:rsidR="00AD53F2" w:rsidRPr="00F262F6">
              <w:rPr>
                <w:rFonts w:ascii="Verdana" w:hAnsi="Verdana" w:cs="Arial"/>
                <w:b/>
                <w:bCs/>
                <w:sz w:val="16"/>
                <w:szCs w:val="16"/>
              </w:rPr>
              <w:t>Piloerection</w:t>
            </w:r>
            <w:r w:rsidR="00AD53F2" w:rsidRPr="00F262F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AD53F2" w:rsidRPr="00F262F6">
              <w:rPr>
                <w:rFonts w:ascii="Verdana" w:hAnsi="Verdana" w:cs="Arial"/>
                <w:sz w:val="12"/>
                <w:szCs w:val="12"/>
              </w:rPr>
              <w:t>(gooseflesh – observe patient’s arm)</w:t>
            </w:r>
          </w:p>
        </w:tc>
        <w:tc>
          <w:tcPr>
            <w:tcW w:w="1591" w:type="dxa"/>
            <w:tcBorders>
              <w:top w:val="nil"/>
              <w:left w:val="single" w:sz="2" w:space="0" w:color="auto"/>
              <w:bottom w:val="nil"/>
            </w:tcBorders>
            <w:shd w:val="clear" w:color="auto" w:fill="E7E6E6" w:themeFill="background2"/>
            <w:vAlign w:val="center"/>
          </w:tcPr>
          <w:p w14:paraId="511B258F" w14:textId="19581272" w:rsidR="00AD53F2" w:rsidRPr="00F262F6" w:rsidRDefault="00AD53F2" w:rsidP="00310E3D">
            <w:p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Absent </w:t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6E88498B" w14:textId="30D95FF5" w:rsidR="00AD53F2" w:rsidRPr="00F262F6" w:rsidRDefault="00AD53F2" w:rsidP="00310E3D">
            <w:p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Present </w:t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</w:tr>
      <w:tr w:rsidR="00F262F6" w:rsidRPr="00F7625C" w14:paraId="3705E0C8" w14:textId="65A05C24" w:rsidTr="00F262F6">
        <w:trPr>
          <w:trHeight w:val="579"/>
        </w:trPr>
        <w:tc>
          <w:tcPr>
            <w:tcW w:w="558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216641" w14:textId="1081893F" w:rsidR="00F262F6" w:rsidRPr="00F262F6" w:rsidRDefault="00F262F6" w:rsidP="00F262F6">
            <w:pPr>
              <w:spacing w:beforeLines="40" w:before="96" w:after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262F6">
              <w:rPr>
                <w:rFonts w:ascii="Verdana" w:hAnsi="Verdana" w:cs="Arial"/>
                <w:b/>
                <w:bCs/>
                <w:sz w:val="16"/>
                <w:szCs w:val="16"/>
              </w:rPr>
              <w:t>Q4.  Perspiration</w:t>
            </w:r>
          </w:p>
        </w:tc>
        <w:tc>
          <w:tcPr>
            <w:tcW w:w="1591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vAlign w:val="center"/>
          </w:tcPr>
          <w:p w14:paraId="05149693" w14:textId="157F9678" w:rsidR="00F262F6" w:rsidRPr="00F262F6" w:rsidRDefault="00F262F6" w:rsidP="00310E3D">
            <w:p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Absent </w:t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3FBB149" w14:textId="5ABC4100" w:rsidR="00F262F6" w:rsidRPr="00F262F6" w:rsidRDefault="00F262F6" w:rsidP="00310E3D">
            <w:p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Present </w:t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</w:tr>
      <w:tr w:rsidR="00F262F6" w:rsidRPr="00F7625C" w14:paraId="035CA26F" w14:textId="13A6CB94" w:rsidTr="00F262F6">
        <w:trPr>
          <w:trHeight w:val="579"/>
        </w:trPr>
        <w:tc>
          <w:tcPr>
            <w:tcW w:w="5580" w:type="dxa"/>
            <w:tcBorders>
              <w:top w:val="nil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648351C" w14:textId="2FA2B835" w:rsidR="00F262F6" w:rsidRPr="00F262F6" w:rsidRDefault="00F262F6" w:rsidP="00F262F6">
            <w:pPr>
              <w:spacing w:beforeLines="40" w:before="96" w:after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262F6">
              <w:rPr>
                <w:rFonts w:ascii="Verdana" w:hAnsi="Verdana" w:cs="Arial"/>
                <w:b/>
                <w:bCs/>
                <w:sz w:val="16"/>
                <w:szCs w:val="16"/>
              </w:rPr>
              <w:t>Q5.  Lacrimation</w:t>
            </w:r>
          </w:p>
        </w:tc>
        <w:tc>
          <w:tcPr>
            <w:tcW w:w="1591" w:type="dxa"/>
            <w:tcBorders>
              <w:top w:val="nil"/>
              <w:left w:val="single" w:sz="2" w:space="0" w:color="auto"/>
              <w:bottom w:val="nil"/>
            </w:tcBorders>
            <w:shd w:val="clear" w:color="auto" w:fill="E7E6E6" w:themeFill="background2"/>
            <w:vAlign w:val="center"/>
          </w:tcPr>
          <w:p w14:paraId="09901C38" w14:textId="14518D93" w:rsidR="00F262F6" w:rsidRPr="00F262F6" w:rsidRDefault="00F262F6" w:rsidP="00310E3D">
            <w:p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Absent </w:t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00DCA7AA" w14:textId="17B0F1A2" w:rsidR="00F262F6" w:rsidRPr="00F262F6" w:rsidRDefault="00F262F6" w:rsidP="00310E3D">
            <w:p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Present </w:t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</w:tr>
      <w:tr w:rsidR="00F262F6" w:rsidRPr="00F7625C" w14:paraId="7C7E9CF2" w14:textId="7949DC62" w:rsidTr="00F262F6">
        <w:trPr>
          <w:trHeight w:val="579"/>
        </w:trPr>
        <w:tc>
          <w:tcPr>
            <w:tcW w:w="558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F050E3" w14:textId="1458D9A8" w:rsidR="00F262F6" w:rsidRPr="00F262F6" w:rsidRDefault="00F262F6" w:rsidP="00F262F6">
            <w:pPr>
              <w:spacing w:beforeLines="40" w:before="96" w:after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262F6">
              <w:rPr>
                <w:rFonts w:ascii="Verdana" w:hAnsi="Verdana" w:cs="Arial"/>
                <w:b/>
                <w:bCs/>
                <w:sz w:val="16"/>
                <w:szCs w:val="16"/>
              </w:rPr>
              <w:t>Q6.  Mydriasis</w:t>
            </w:r>
          </w:p>
        </w:tc>
        <w:tc>
          <w:tcPr>
            <w:tcW w:w="1591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vAlign w:val="center"/>
          </w:tcPr>
          <w:p w14:paraId="1073C61D" w14:textId="2DFC4B84" w:rsidR="00F262F6" w:rsidRPr="00F262F6" w:rsidRDefault="00F262F6" w:rsidP="00310E3D">
            <w:p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Absent </w:t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1989909" w14:textId="42E9E37D" w:rsidR="00F262F6" w:rsidRPr="00F262F6" w:rsidRDefault="00F262F6" w:rsidP="00310E3D">
            <w:p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Present </w:t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</w:tr>
      <w:tr w:rsidR="00F262F6" w:rsidRPr="00F7625C" w14:paraId="515E5122" w14:textId="2D30730E" w:rsidTr="00F262F6">
        <w:trPr>
          <w:trHeight w:val="579"/>
        </w:trPr>
        <w:tc>
          <w:tcPr>
            <w:tcW w:w="5580" w:type="dxa"/>
            <w:tcBorders>
              <w:top w:val="nil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3839E5D" w14:textId="6223D96B" w:rsidR="00F262F6" w:rsidRPr="00F262F6" w:rsidRDefault="00F262F6" w:rsidP="00F262F6">
            <w:pPr>
              <w:spacing w:beforeLines="40" w:before="96" w:after="0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Q7.  Tremors </w:t>
            </w:r>
            <w:r w:rsidRPr="00F262F6">
              <w:rPr>
                <w:rFonts w:ascii="Verdana" w:hAnsi="Verdana" w:cs="Arial"/>
                <w:sz w:val="12"/>
                <w:szCs w:val="12"/>
              </w:rPr>
              <w:t>(hands)</w:t>
            </w:r>
          </w:p>
        </w:tc>
        <w:tc>
          <w:tcPr>
            <w:tcW w:w="1591" w:type="dxa"/>
            <w:tcBorders>
              <w:top w:val="nil"/>
              <w:left w:val="single" w:sz="2" w:space="0" w:color="auto"/>
              <w:bottom w:val="nil"/>
            </w:tcBorders>
            <w:shd w:val="clear" w:color="auto" w:fill="E7E6E6" w:themeFill="background2"/>
            <w:vAlign w:val="center"/>
          </w:tcPr>
          <w:p w14:paraId="58BA02AC" w14:textId="3EFF7A0C" w:rsidR="00F262F6" w:rsidRPr="00F262F6" w:rsidRDefault="00F262F6" w:rsidP="00310E3D">
            <w:p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Absent </w:t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36BAA35F" w14:textId="69F9FB31" w:rsidR="00F262F6" w:rsidRPr="00F262F6" w:rsidRDefault="00F262F6" w:rsidP="00310E3D">
            <w:p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Present </w:t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</w:tr>
      <w:tr w:rsidR="00F262F6" w:rsidRPr="00F7625C" w14:paraId="507EBA50" w14:textId="42B0B832" w:rsidTr="00F262F6">
        <w:trPr>
          <w:trHeight w:val="579"/>
        </w:trPr>
        <w:tc>
          <w:tcPr>
            <w:tcW w:w="558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B446A1" w14:textId="32CC4946" w:rsidR="00F262F6" w:rsidRPr="00F262F6" w:rsidRDefault="00F262F6" w:rsidP="00F262F6">
            <w:pPr>
              <w:spacing w:beforeLines="40" w:before="96" w:after="0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="Arial"/>
                <w:b/>
                <w:bCs/>
                <w:sz w:val="16"/>
                <w:szCs w:val="16"/>
              </w:rPr>
              <w:t>Q8.  Hot and cold flushes</w:t>
            </w:r>
            <w:r w:rsidRPr="00F262F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="Arial"/>
                <w:sz w:val="12"/>
                <w:szCs w:val="12"/>
              </w:rPr>
              <w:t>(shivering or huddling for warmth)</w:t>
            </w:r>
          </w:p>
        </w:tc>
        <w:tc>
          <w:tcPr>
            <w:tcW w:w="1591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vAlign w:val="center"/>
          </w:tcPr>
          <w:p w14:paraId="47029195" w14:textId="36268907" w:rsidR="00F262F6" w:rsidRPr="00F262F6" w:rsidRDefault="00F262F6" w:rsidP="00310E3D">
            <w:p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Absent </w:t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0973A1F" w14:textId="7F639F8A" w:rsidR="00F262F6" w:rsidRPr="00F262F6" w:rsidRDefault="00F262F6" w:rsidP="00310E3D">
            <w:p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Present </w:t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</w:tr>
      <w:tr w:rsidR="00F262F6" w:rsidRPr="00F7625C" w14:paraId="540C7663" w14:textId="20B33EFF" w:rsidTr="00F262F6">
        <w:trPr>
          <w:trHeight w:val="579"/>
        </w:trPr>
        <w:tc>
          <w:tcPr>
            <w:tcW w:w="5580" w:type="dxa"/>
            <w:tcBorders>
              <w:top w:val="nil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D11F1DD" w14:textId="2B994A83" w:rsidR="00F262F6" w:rsidRPr="00F262F6" w:rsidRDefault="00F262F6" w:rsidP="00F262F6">
            <w:pPr>
              <w:spacing w:beforeLines="40" w:before="96" w:after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262F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Q9.  Restlessness </w:t>
            </w:r>
            <w:r w:rsidRPr="00F262F6">
              <w:rPr>
                <w:rFonts w:ascii="Verdana" w:hAnsi="Verdana" w:cs="Arial"/>
                <w:sz w:val="12"/>
                <w:szCs w:val="12"/>
              </w:rPr>
              <w:t>(frequent shifts of position)</w:t>
            </w:r>
          </w:p>
        </w:tc>
        <w:tc>
          <w:tcPr>
            <w:tcW w:w="1591" w:type="dxa"/>
            <w:tcBorders>
              <w:top w:val="nil"/>
              <w:left w:val="single" w:sz="2" w:space="0" w:color="auto"/>
              <w:bottom w:val="nil"/>
            </w:tcBorders>
            <w:shd w:val="clear" w:color="auto" w:fill="E7E6E6" w:themeFill="background2"/>
            <w:vAlign w:val="center"/>
          </w:tcPr>
          <w:p w14:paraId="02B60339" w14:textId="2E5CA238" w:rsidR="00F262F6" w:rsidRPr="00F262F6" w:rsidRDefault="00F262F6" w:rsidP="00310E3D">
            <w:p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Absent </w:t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17847968" w14:textId="32C80BBF" w:rsidR="00F262F6" w:rsidRPr="00F262F6" w:rsidRDefault="00F262F6" w:rsidP="00310E3D">
            <w:p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Present </w:t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</w:tr>
      <w:tr w:rsidR="00F262F6" w:rsidRPr="00F7625C" w14:paraId="2115089E" w14:textId="2037ED50" w:rsidTr="00F262F6">
        <w:trPr>
          <w:trHeight w:val="579"/>
        </w:trPr>
        <w:tc>
          <w:tcPr>
            <w:tcW w:w="558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BACBEA" w14:textId="64A1BB3F" w:rsidR="00F262F6" w:rsidRPr="00F262F6" w:rsidRDefault="00F262F6" w:rsidP="00F262F6">
            <w:pPr>
              <w:spacing w:beforeLines="40" w:before="96" w:after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262F6">
              <w:rPr>
                <w:rFonts w:ascii="Verdana" w:hAnsi="Verdana" w:cs="Arial"/>
                <w:b/>
                <w:bCs/>
                <w:sz w:val="16"/>
                <w:szCs w:val="16"/>
              </w:rPr>
              <w:t>Q10. Vomiting</w:t>
            </w:r>
          </w:p>
        </w:tc>
        <w:tc>
          <w:tcPr>
            <w:tcW w:w="1591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vAlign w:val="center"/>
          </w:tcPr>
          <w:p w14:paraId="2F804C24" w14:textId="02FD4CDC" w:rsidR="00F262F6" w:rsidRPr="00F262F6" w:rsidRDefault="00F262F6" w:rsidP="00310E3D">
            <w:p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Absent </w:t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C97D322" w14:textId="4A7A44A0" w:rsidR="00F262F6" w:rsidRPr="00F262F6" w:rsidRDefault="00F262F6" w:rsidP="00310E3D">
            <w:p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Present </w:t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</w:tr>
      <w:tr w:rsidR="00F262F6" w:rsidRPr="00F7625C" w14:paraId="0BB66489" w14:textId="357E1540" w:rsidTr="00F262F6">
        <w:trPr>
          <w:trHeight w:val="579"/>
        </w:trPr>
        <w:tc>
          <w:tcPr>
            <w:tcW w:w="5580" w:type="dxa"/>
            <w:tcBorders>
              <w:top w:val="nil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17DCAD05" w14:textId="0CF8EF3C" w:rsidR="00F262F6" w:rsidRPr="00F262F6" w:rsidRDefault="00F262F6" w:rsidP="00F262F6">
            <w:pPr>
              <w:spacing w:beforeLines="40" w:before="96" w:after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262F6">
              <w:rPr>
                <w:rFonts w:ascii="Verdana" w:hAnsi="Verdana" w:cs="Arial"/>
                <w:b/>
                <w:bCs/>
                <w:sz w:val="16"/>
                <w:szCs w:val="16"/>
              </w:rPr>
              <w:t>Q11. Muscle twitches</w:t>
            </w:r>
          </w:p>
        </w:tc>
        <w:tc>
          <w:tcPr>
            <w:tcW w:w="1591" w:type="dxa"/>
            <w:tcBorders>
              <w:top w:val="nil"/>
              <w:left w:val="single" w:sz="2" w:space="0" w:color="auto"/>
              <w:bottom w:val="nil"/>
            </w:tcBorders>
            <w:shd w:val="clear" w:color="auto" w:fill="E7E6E6" w:themeFill="background2"/>
            <w:vAlign w:val="center"/>
          </w:tcPr>
          <w:p w14:paraId="4E939201" w14:textId="260FFA4B" w:rsidR="00F262F6" w:rsidRPr="00F262F6" w:rsidRDefault="00F262F6" w:rsidP="00310E3D">
            <w:p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Absent </w:t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41020D98" w14:textId="4E01D647" w:rsidR="00F262F6" w:rsidRPr="00F262F6" w:rsidRDefault="00F262F6" w:rsidP="00310E3D">
            <w:p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Present </w:t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</w:tr>
      <w:tr w:rsidR="00F262F6" w:rsidRPr="00F7625C" w14:paraId="3903F7E9" w14:textId="706BC1E1" w:rsidTr="00F262F6">
        <w:trPr>
          <w:trHeight w:val="579"/>
        </w:trPr>
        <w:tc>
          <w:tcPr>
            <w:tcW w:w="5580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8ED5ED" w14:textId="4B569742" w:rsidR="00F262F6" w:rsidRPr="00F262F6" w:rsidRDefault="00F262F6" w:rsidP="00F262F6">
            <w:pPr>
              <w:spacing w:beforeLines="40" w:before="96" w:after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262F6">
              <w:rPr>
                <w:rFonts w:ascii="Verdana" w:hAnsi="Verdana" w:cs="Arial"/>
                <w:b/>
                <w:bCs/>
                <w:sz w:val="16"/>
                <w:szCs w:val="16"/>
              </w:rPr>
              <w:t>Q12. Abdominal cramps</w:t>
            </w:r>
            <w:r w:rsidRPr="00F262F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="Arial"/>
                <w:sz w:val="12"/>
                <w:szCs w:val="12"/>
              </w:rPr>
              <w:t>(holding stomach)</w:t>
            </w:r>
          </w:p>
        </w:tc>
        <w:tc>
          <w:tcPr>
            <w:tcW w:w="1591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 w:themeFill="background1"/>
            <w:vAlign w:val="center"/>
          </w:tcPr>
          <w:p w14:paraId="765D2F21" w14:textId="4E59D9C3" w:rsidR="00F262F6" w:rsidRPr="00F262F6" w:rsidRDefault="00F262F6" w:rsidP="00310E3D">
            <w:p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Absent </w:t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0F9DA55" w14:textId="6803E6A1" w:rsidR="00F262F6" w:rsidRPr="00F262F6" w:rsidRDefault="00F262F6" w:rsidP="00310E3D">
            <w:p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Present </w:t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</w:tr>
      <w:tr w:rsidR="00F262F6" w:rsidRPr="00F7625C" w14:paraId="20F42FC7" w14:textId="3A2937D5" w:rsidTr="009D33B1">
        <w:trPr>
          <w:trHeight w:val="579"/>
        </w:trPr>
        <w:tc>
          <w:tcPr>
            <w:tcW w:w="558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DE33352" w14:textId="20DA4F92" w:rsidR="00F262F6" w:rsidRPr="00F262F6" w:rsidRDefault="00F262F6" w:rsidP="00F262F6">
            <w:pPr>
              <w:spacing w:beforeLines="40" w:before="96" w:after="0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Q14. Anxiety </w:t>
            </w:r>
            <w:r w:rsidRPr="00F262F6">
              <w:rPr>
                <w:rFonts w:ascii="Verdana" w:hAnsi="Verdana" w:cs="Arial"/>
                <w:sz w:val="16"/>
                <w:szCs w:val="16"/>
              </w:rPr>
              <w:t>(</w:t>
            </w:r>
            <w:r w:rsidRPr="00F262F6">
              <w:rPr>
                <w:rFonts w:ascii="Verdana" w:hAnsi="Verdana" w:cs="Arial"/>
                <w:sz w:val="12"/>
                <w:szCs w:val="12"/>
              </w:rPr>
              <w:t>Mild: observable manifestations e.g., foot shaking, fidgeting, finger tapping; Moderate to severe: agitation, unable to sit, trembling, panicky, complains of difficulty breathing, choking cessation, palpitations)</w:t>
            </w:r>
          </w:p>
        </w:tc>
        <w:tc>
          <w:tcPr>
            <w:tcW w:w="1591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1294B4" w14:textId="009AE415" w:rsidR="00F262F6" w:rsidRPr="00F262F6" w:rsidRDefault="00F262F6" w:rsidP="00310E3D">
            <w:p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Absent </w:t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  <w:tc>
          <w:tcPr>
            <w:tcW w:w="2054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4FAA56" w14:textId="512CB486" w:rsidR="00F262F6" w:rsidRPr="00F262F6" w:rsidRDefault="00F262F6" w:rsidP="00310E3D">
            <w:pPr>
              <w:spacing w:beforeLines="40" w:before="96"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Present </w:t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F262F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F262F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</w:tr>
      <w:tr w:rsidR="00AD53F2" w:rsidRPr="00F7625C" w14:paraId="78359659" w14:textId="77777777" w:rsidTr="009D33B1">
        <w:trPr>
          <w:trHeight w:val="407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18DCF" w14:textId="22BEF2B5" w:rsidR="00AD53F2" w:rsidRPr="00F262F6" w:rsidRDefault="00AD53F2" w:rsidP="00310E3D">
            <w:pPr>
              <w:spacing w:beforeLines="40" w:before="96" w:after="0"/>
              <w:jc w:val="right"/>
              <w:rPr>
                <w:rFonts w:ascii="Verdana" w:hAnsi="Verdana" w:cstheme="minorHAnsi"/>
                <w:b/>
                <w:bCs/>
                <w:i/>
                <w:sz w:val="16"/>
                <w:szCs w:val="16"/>
              </w:rPr>
            </w:pPr>
            <w:r w:rsidRPr="00F262F6">
              <w:rPr>
                <w:rFonts w:ascii="Verdana" w:hAnsi="Verdana" w:cstheme="minorHAnsi"/>
                <w:b/>
                <w:bCs/>
                <w:i/>
                <w:sz w:val="16"/>
                <w:szCs w:val="16"/>
              </w:rPr>
              <w:t>Total Score: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A358F" w14:textId="77777777" w:rsidR="00AD53F2" w:rsidRPr="00F262F6" w:rsidRDefault="00AD53F2" w:rsidP="00310E3D">
            <w:pPr>
              <w:spacing w:beforeLines="40" w:before="96" w:after="0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</w:tr>
    </w:tbl>
    <w:p w14:paraId="0351C7E0" w14:textId="77777777" w:rsidR="005F116C" w:rsidRDefault="005F116C" w:rsidP="009E57F7">
      <w:pPr>
        <w:spacing w:beforeLines="40" w:before="96" w:after="0"/>
      </w:pPr>
      <w:bookmarkStart w:id="2" w:name="_Hlk47963868"/>
      <w:bookmarkStart w:id="3" w:name="_Hlk43976833"/>
    </w:p>
    <w:p w14:paraId="61C37C11" w14:textId="3D818C4B" w:rsidR="009E57F7" w:rsidRPr="00F262F6" w:rsidRDefault="009E57F7" w:rsidP="009E57F7">
      <w:pPr>
        <w:spacing w:after="0"/>
        <w:rPr>
          <w:rFonts w:ascii="Verdana" w:eastAsia="Times New Roman" w:hAnsi="Verdana"/>
          <w:sz w:val="16"/>
          <w:szCs w:val="16"/>
          <w:shd w:val="clear" w:color="auto" w:fill="FFFFFF"/>
        </w:rPr>
      </w:pPr>
      <w:r w:rsidRPr="00F262F6">
        <w:rPr>
          <w:rFonts w:ascii="Verdana" w:hAnsi="Verdana"/>
          <w:b/>
          <w:bCs/>
          <w:sz w:val="16"/>
          <w:szCs w:val="16"/>
        </w:rPr>
        <w:t>Scoring and interpretation:</w:t>
      </w:r>
      <w:r w:rsidRPr="00F262F6">
        <w:rPr>
          <w:rFonts w:ascii="Verdana" w:hAnsi="Verdana"/>
          <w:sz w:val="16"/>
          <w:szCs w:val="16"/>
        </w:rPr>
        <w:t xml:space="preserve">  The OOWS comprises 13 clinical observations.  Each observation is scored as </w:t>
      </w:r>
      <w:bookmarkStart w:id="4" w:name="_Hlk41389127"/>
      <w:r w:rsidRPr="00F262F6">
        <w:rPr>
          <w:rFonts w:ascii="Verdana" w:hAnsi="Verdana"/>
          <w:sz w:val="16"/>
          <w:szCs w:val="16"/>
        </w:rPr>
        <w:t xml:space="preserve">either </w:t>
      </w:r>
      <w:bookmarkEnd w:id="4"/>
      <w:r w:rsidRPr="00F262F6">
        <w:rPr>
          <w:rFonts w:ascii="Verdana" w:hAnsi="Verdana"/>
          <w:sz w:val="16"/>
          <w:szCs w:val="16"/>
        </w:rPr>
        <w:t xml:space="preserve">absent (0 point) or present (1 point).  A total score is calculated by summing all 13 items. The minimum total score possible is 0, and the maximum total score possible is 13 (i.e. total score range: 0-13).  </w:t>
      </w:r>
      <w:r w:rsidRPr="00F262F6">
        <w:rPr>
          <w:rFonts w:ascii="Verdana" w:eastAsia="Times New Roman" w:hAnsi="Verdana"/>
          <w:sz w:val="16"/>
          <w:szCs w:val="16"/>
          <w:shd w:val="clear" w:color="auto" w:fill="FFFFFF"/>
        </w:rPr>
        <w:t>A higher score indicates greater opiate withdrawal symptoms.</w:t>
      </w:r>
    </w:p>
    <w:p w14:paraId="2DEFED2B" w14:textId="11CC8B4A" w:rsidR="009E57F7" w:rsidRPr="00F262F6" w:rsidRDefault="009E57F7" w:rsidP="009E57F7">
      <w:pPr>
        <w:spacing w:after="0"/>
        <w:rPr>
          <w:rFonts w:ascii="Verdana" w:eastAsia="Times New Roman" w:hAnsi="Verdana"/>
          <w:sz w:val="16"/>
          <w:szCs w:val="16"/>
          <w:shd w:val="clear" w:color="auto" w:fill="FFFFFF"/>
        </w:rPr>
      </w:pPr>
    </w:p>
    <w:p w14:paraId="6F084B4E" w14:textId="5EE8D847" w:rsidR="009E57F7" w:rsidRPr="00F262F6" w:rsidRDefault="009E57F7" w:rsidP="009E57F7">
      <w:pPr>
        <w:spacing w:after="0"/>
        <w:rPr>
          <w:rFonts w:ascii="Verdana" w:hAnsi="Verdana"/>
          <w:b/>
          <w:bCs/>
          <w:sz w:val="16"/>
          <w:szCs w:val="16"/>
        </w:rPr>
      </w:pPr>
      <w:r w:rsidRPr="00F262F6">
        <w:rPr>
          <w:rFonts w:ascii="Verdana" w:eastAsia="Times New Roman" w:hAnsi="Verdana"/>
          <w:b/>
          <w:bCs/>
          <w:sz w:val="16"/>
          <w:szCs w:val="16"/>
          <w:shd w:val="clear" w:color="auto" w:fill="FFFFFF"/>
        </w:rPr>
        <w:t xml:space="preserve">Tool citation: </w:t>
      </w:r>
      <w:proofErr w:type="spellStart"/>
      <w:r w:rsidRPr="00F262F6">
        <w:rPr>
          <w:rFonts w:ascii="Verdana" w:hAnsi="Verdana" w:cstheme="minorHAnsi"/>
          <w:sz w:val="16"/>
          <w:szCs w:val="16"/>
        </w:rPr>
        <w:t>Handelsman</w:t>
      </w:r>
      <w:proofErr w:type="spellEnd"/>
      <w:r w:rsidRPr="00F262F6">
        <w:rPr>
          <w:rFonts w:ascii="Verdana" w:hAnsi="Verdana" w:cstheme="minorHAnsi"/>
          <w:sz w:val="16"/>
          <w:szCs w:val="16"/>
        </w:rPr>
        <w:t xml:space="preserve">, L., Cochrane, K., Aronson, M., et al. </w:t>
      </w:r>
      <w:r w:rsidRPr="00F262F6">
        <w:rPr>
          <w:rFonts w:ascii="Verdana" w:hAnsi="Verdana" w:cstheme="minorHAnsi"/>
          <w:i/>
          <w:iCs/>
          <w:sz w:val="16"/>
          <w:szCs w:val="16"/>
        </w:rPr>
        <w:t>Two new rating scales for opiate withdrawal.</w:t>
      </w:r>
      <w:r w:rsidRPr="00F262F6">
        <w:rPr>
          <w:rFonts w:ascii="Verdana" w:hAnsi="Verdana" w:cstheme="minorHAnsi"/>
          <w:sz w:val="16"/>
          <w:szCs w:val="16"/>
        </w:rPr>
        <w:t xml:space="preserve"> American Journal of Drug and Alcohol Abuse, 1987. </w:t>
      </w:r>
      <w:r w:rsidRPr="00F262F6">
        <w:rPr>
          <w:rFonts w:ascii="Verdana" w:hAnsi="Verdana" w:cstheme="minorHAnsi"/>
          <w:b/>
          <w:bCs/>
          <w:sz w:val="16"/>
          <w:szCs w:val="16"/>
        </w:rPr>
        <w:t>13</w:t>
      </w:r>
      <w:r w:rsidRPr="00F262F6">
        <w:rPr>
          <w:rFonts w:ascii="Verdana" w:hAnsi="Verdana" w:cstheme="minorHAnsi"/>
          <w:sz w:val="16"/>
          <w:szCs w:val="16"/>
        </w:rPr>
        <w:t>(3): 293-308.</w:t>
      </w:r>
    </w:p>
    <w:p w14:paraId="22400133" w14:textId="7BDC6253" w:rsidR="005F116C" w:rsidRPr="00F262F6" w:rsidRDefault="009E57F7" w:rsidP="009E57F7">
      <w:pPr>
        <w:pStyle w:val="Heading2"/>
        <w:spacing w:after="0"/>
        <w:rPr>
          <w:rFonts w:ascii="Verdana" w:hAnsi="Verdana"/>
          <w:color w:val="auto"/>
          <w:sz w:val="16"/>
          <w:szCs w:val="16"/>
        </w:rPr>
      </w:pPr>
      <w:bookmarkStart w:id="5" w:name="_Hlk25135266"/>
      <w:bookmarkStart w:id="6" w:name="_Hlk42072248"/>
      <w:bookmarkStart w:id="7" w:name="_Hlk47966706"/>
      <w:bookmarkEnd w:id="1"/>
      <w:bookmarkEnd w:id="2"/>
      <w:bookmarkEnd w:id="3"/>
      <w:r w:rsidRPr="00F262F6">
        <w:rPr>
          <w:rFonts w:ascii="Verdana" w:hAnsi="Verdana"/>
          <w:color w:val="auto"/>
          <w:sz w:val="16"/>
          <w:szCs w:val="16"/>
        </w:rPr>
        <w:t>Further information:</w:t>
      </w:r>
      <w:bookmarkStart w:id="8" w:name="_Hlk51849339"/>
      <w:bookmarkEnd w:id="5"/>
      <w:bookmarkEnd w:id="6"/>
      <w:bookmarkEnd w:id="7"/>
      <w:r w:rsidRPr="00F262F6">
        <w:rPr>
          <w:rFonts w:ascii="Verdana" w:hAnsi="Verdana"/>
          <w:color w:val="auto"/>
          <w:sz w:val="16"/>
          <w:szCs w:val="16"/>
        </w:rPr>
        <w:t xml:space="preserve"> </w:t>
      </w:r>
      <w:r w:rsidR="005F116C" w:rsidRPr="00F262F6">
        <w:rPr>
          <w:rFonts w:ascii="Verdana" w:hAnsi="Verdana" w:cstheme="minorHAnsi"/>
          <w:b w:val="0"/>
          <w:bCs w:val="0"/>
          <w:color w:val="auto"/>
          <w:sz w:val="16"/>
          <w:szCs w:val="16"/>
        </w:rPr>
        <w:t xml:space="preserve">Fischer, J.A., Roche, A.M., and Duraisingam, V. </w:t>
      </w:r>
      <w:r w:rsidR="005F116C" w:rsidRPr="00F262F6">
        <w:rPr>
          <w:rFonts w:ascii="Verdana" w:hAnsi="Verdana" w:cstheme="minorHAnsi"/>
          <w:b w:val="0"/>
          <w:bCs w:val="0"/>
          <w:i/>
          <w:color w:val="auto"/>
          <w:sz w:val="16"/>
          <w:szCs w:val="16"/>
        </w:rPr>
        <w:t>Objective Opioid Withdrawal Scale (OOWS): description, strengths and knowledge gaps</w:t>
      </w:r>
      <w:r w:rsidR="005F116C" w:rsidRPr="00F262F6">
        <w:rPr>
          <w:rFonts w:ascii="Verdana" w:hAnsi="Verdana" w:cstheme="minorHAnsi"/>
          <w:b w:val="0"/>
          <w:bCs w:val="0"/>
          <w:color w:val="auto"/>
          <w:sz w:val="16"/>
          <w:szCs w:val="16"/>
        </w:rPr>
        <w:t>. 2021, National Centre for Education and Training on Addiction (NCETA), Flinders University: Adelaide, South Australia.</w:t>
      </w:r>
      <w:bookmarkEnd w:id="8"/>
    </w:p>
    <w:sectPr w:rsidR="005F116C" w:rsidRPr="00F262F6" w:rsidSect="00025F22">
      <w:footerReference w:type="default" r:id="rId7"/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C1EC4" w14:textId="77777777" w:rsidR="00915D93" w:rsidRDefault="00915D93">
      <w:pPr>
        <w:spacing w:after="0"/>
      </w:pPr>
      <w:r>
        <w:separator/>
      </w:r>
    </w:p>
  </w:endnote>
  <w:endnote w:type="continuationSeparator" w:id="0">
    <w:p w14:paraId="4DD2EE83" w14:textId="77777777" w:rsidR="00915D93" w:rsidRDefault="00915D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71C99" w14:textId="643F9182" w:rsidR="00491EA5" w:rsidRPr="00310E3D" w:rsidRDefault="00491EA5" w:rsidP="00541A3D">
    <w:pPr>
      <w:pStyle w:val="Footer"/>
      <w:pBdr>
        <w:top w:val="single" w:sz="4" w:space="1" w:color="D9D9D9" w:themeColor="background1" w:themeShade="D9"/>
      </w:pBdr>
      <w:spacing w:after="0"/>
      <w:rPr>
        <w:sz w:val="12"/>
        <w:szCs w:val="12"/>
      </w:rPr>
    </w:pPr>
    <w:r w:rsidRPr="00310E3D">
      <w:rPr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 wp14:anchorId="05C2929B" wp14:editId="2ACC5FF3">
          <wp:simplePos x="0" y="0"/>
          <wp:positionH relativeFrom="margin">
            <wp:posOffset>4614487</wp:posOffset>
          </wp:positionH>
          <wp:positionV relativeFrom="paragraph">
            <wp:posOffset>-48683</wp:posOffset>
          </wp:positionV>
          <wp:extent cx="866857" cy="42756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166" cy="449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485A43" w14:textId="181C4CBB" w:rsidR="00B07019" w:rsidRPr="00F262F6" w:rsidRDefault="005F116C" w:rsidP="00541A3D">
    <w:pPr>
      <w:pStyle w:val="Footer"/>
      <w:pBdr>
        <w:top w:val="single" w:sz="4" w:space="1" w:color="D9D9D9" w:themeColor="background1" w:themeShade="D9"/>
      </w:pBdr>
      <w:spacing w:after="0"/>
      <w:rPr>
        <w:rFonts w:ascii="Verdana" w:hAnsi="Verdana"/>
        <w:sz w:val="12"/>
        <w:szCs w:val="12"/>
      </w:rPr>
    </w:pPr>
    <w:r w:rsidRPr="00F262F6">
      <w:rPr>
        <w:rFonts w:ascii="Verdana" w:hAnsi="Verdana"/>
        <w:sz w:val="12"/>
        <w:szCs w:val="12"/>
      </w:rPr>
      <w:t>Produced by the National Centre for Education and Training on Addiction (NCETA), Flinders University</w:t>
    </w:r>
  </w:p>
  <w:p w14:paraId="19BB9F06" w14:textId="42B4E402" w:rsidR="00B07019" w:rsidRPr="00F262F6" w:rsidRDefault="005F116C" w:rsidP="00541A3D">
    <w:pPr>
      <w:pStyle w:val="Footer"/>
      <w:pBdr>
        <w:top w:val="single" w:sz="4" w:space="1" w:color="D9D9D9" w:themeColor="background1" w:themeShade="D9"/>
      </w:pBdr>
      <w:spacing w:after="0"/>
      <w:rPr>
        <w:rFonts w:ascii="Verdana" w:hAnsi="Verdana"/>
        <w:sz w:val="12"/>
        <w:szCs w:val="12"/>
      </w:rPr>
    </w:pPr>
    <w:r w:rsidRPr="00F262F6">
      <w:rPr>
        <w:rFonts w:ascii="Verdana" w:hAnsi="Verdana"/>
        <w:sz w:val="12"/>
        <w:szCs w:val="12"/>
      </w:rPr>
      <w:t>© 2021 National Centre for Education and Training on Addiction (NCETA), Flinders University</w:t>
    </w:r>
  </w:p>
  <w:p w14:paraId="4DD0651F" w14:textId="6500729E" w:rsidR="00B07019" w:rsidRPr="00F262F6" w:rsidRDefault="009D33B1" w:rsidP="00541A3D">
    <w:pPr>
      <w:pStyle w:val="Footer"/>
      <w:pBdr>
        <w:top w:val="single" w:sz="4" w:space="1" w:color="D9D9D9" w:themeColor="background1" w:themeShade="D9"/>
      </w:pBdr>
      <w:spacing w:after="0"/>
      <w:rPr>
        <w:rFonts w:ascii="Verdana" w:hAnsi="Verdana"/>
        <w:sz w:val="12"/>
        <w:szCs w:val="12"/>
      </w:rPr>
    </w:pPr>
    <w:hyperlink r:id="rId2" w:history="1">
      <w:r w:rsidR="005F116C" w:rsidRPr="00F262F6">
        <w:rPr>
          <w:rStyle w:val="Hyperlink"/>
          <w:rFonts w:ascii="Verdana" w:hAnsi="Verdana"/>
          <w:sz w:val="12"/>
          <w:szCs w:val="12"/>
        </w:rPr>
        <w:t>www.nceta.flinders.edu.au</w:t>
      </w:r>
    </w:hyperlink>
    <w:r w:rsidR="005F116C" w:rsidRPr="00F262F6">
      <w:rPr>
        <w:rFonts w:ascii="Verdana" w:hAnsi="Verdana"/>
        <w:sz w:val="12"/>
        <w:szCs w:val="12"/>
      </w:rPr>
      <w:t xml:space="preserve"> | </w:t>
    </w:r>
    <w:hyperlink r:id="rId3" w:history="1">
      <w:r w:rsidR="005F116C" w:rsidRPr="00F262F6">
        <w:rPr>
          <w:rStyle w:val="Hyperlink"/>
          <w:rFonts w:ascii="Verdana" w:hAnsi="Verdana"/>
          <w:sz w:val="12"/>
          <w:szCs w:val="12"/>
        </w:rPr>
        <w:t>nceta@flinders.edu.au</w:t>
      </w:r>
    </w:hyperlink>
    <w:r w:rsidR="005F116C" w:rsidRPr="00F262F6">
      <w:rPr>
        <w:rFonts w:ascii="Verdana" w:hAnsi="Verdana"/>
        <w:sz w:val="12"/>
        <w:szCs w:val="12"/>
      </w:rPr>
      <w:t xml:space="preserve"> | 08 8201 7535</w:t>
    </w:r>
  </w:p>
  <w:p w14:paraId="4EC43C17" w14:textId="39A0ADFD" w:rsidR="00B07019" w:rsidRPr="00E5546D" w:rsidRDefault="009D33B1" w:rsidP="00541A3D">
    <w:pPr>
      <w:pStyle w:val="Footer"/>
      <w:pBdr>
        <w:top w:val="single" w:sz="4" w:space="1" w:color="D9D9D9" w:themeColor="background1" w:themeShade="D9"/>
      </w:pBdr>
      <w:spacing w:after="0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48300" w14:textId="77777777" w:rsidR="00915D93" w:rsidRDefault="00915D93">
      <w:pPr>
        <w:spacing w:after="0"/>
      </w:pPr>
      <w:r>
        <w:separator/>
      </w:r>
    </w:p>
  </w:footnote>
  <w:footnote w:type="continuationSeparator" w:id="0">
    <w:p w14:paraId="21FEBCC5" w14:textId="77777777" w:rsidR="00915D93" w:rsidRDefault="00915D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61C4"/>
    <w:multiLevelType w:val="hybridMultilevel"/>
    <w:tmpl w:val="52E0E10A"/>
    <w:lvl w:ilvl="0" w:tplc="749E572A">
      <w:start w:val="1"/>
      <w:numFmt w:val="decimal"/>
      <w:lvlText w:val="%1"/>
      <w:lvlJc w:val="left"/>
      <w:pPr>
        <w:ind w:left="720" w:hanging="360"/>
      </w:pPr>
      <w:rPr>
        <w:rFonts w:ascii="Verdana" w:hAnsi="Verdana" w:cstheme="minorHAnsi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01194"/>
    <w:multiLevelType w:val="hybridMultilevel"/>
    <w:tmpl w:val="C394BDCE"/>
    <w:lvl w:ilvl="0" w:tplc="300ED5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8410E5"/>
    <w:multiLevelType w:val="hybridMultilevel"/>
    <w:tmpl w:val="BE66E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536BE"/>
    <w:multiLevelType w:val="hybridMultilevel"/>
    <w:tmpl w:val="CA64058E"/>
    <w:lvl w:ilvl="0" w:tplc="06F8912C">
      <w:start w:val="1"/>
      <w:numFmt w:val="decimal"/>
      <w:lvlText w:val="%1"/>
      <w:lvlJc w:val="left"/>
      <w:pPr>
        <w:ind w:left="420" w:hanging="360"/>
      </w:pPr>
      <w:rPr>
        <w:rFonts w:ascii="Verdana" w:hAnsi="Verdana" w:cstheme="minorHAnsi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F6E59EC"/>
    <w:multiLevelType w:val="hybridMultilevel"/>
    <w:tmpl w:val="D2021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75D61"/>
    <w:multiLevelType w:val="hybridMultilevel"/>
    <w:tmpl w:val="16F4E56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9620B4"/>
    <w:multiLevelType w:val="multilevel"/>
    <w:tmpl w:val="AF062BC0"/>
    <w:lvl w:ilvl="0">
      <w:numFmt w:val="decimal"/>
      <w:lvlText w:val="%1"/>
      <w:lvlJc w:val="left"/>
      <w:pPr>
        <w:ind w:left="360" w:hanging="360"/>
      </w:pPr>
      <w:rPr>
        <w:rFonts w:ascii="Verdana" w:hAnsi="Verdana" w:cstheme="minorHAnsi" w:hint="default"/>
        <w:sz w:val="16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ascii="Verdana" w:hAnsi="Verdana" w:cstheme="minorHAnsi" w:hint="default"/>
        <w:sz w:val="16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Verdana" w:hAnsi="Verdana" w:cstheme="minorHAnsi" w:hint="default"/>
        <w:sz w:val="16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Verdana" w:hAnsi="Verdana" w:cstheme="minorHAnsi" w:hint="default"/>
        <w:sz w:val="16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ascii="Verdana" w:hAnsi="Verdana" w:cstheme="minorHAnsi" w:hint="default"/>
        <w:sz w:val="16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Verdana" w:hAnsi="Verdana" w:cstheme="minorHAnsi" w:hint="default"/>
        <w:sz w:val="16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ascii="Verdana" w:hAnsi="Verdana" w:cstheme="minorHAnsi" w:hint="default"/>
        <w:sz w:val="16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Verdana" w:hAnsi="Verdana" w:cstheme="minorHAnsi" w:hint="default"/>
        <w:sz w:val="16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Verdana" w:hAnsi="Verdana" w:cstheme="minorHAnsi" w:hint="default"/>
        <w:sz w:val="16"/>
      </w:rPr>
    </w:lvl>
  </w:abstractNum>
  <w:abstractNum w:abstractNumId="7" w15:restartNumberingAfterBreak="0">
    <w:nsid w:val="77BA5C90"/>
    <w:multiLevelType w:val="hybridMultilevel"/>
    <w:tmpl w:val="96827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F116C"/>
    <w:rsid w:val="00310E3D"/>
    <w:rsid w:val="00491EA5"/>
    <w:rsid w:val="005F116C"/>
    <w:rsid w:val="0080512D"/>
    <w:rsid w:val="00915D93"/>
    <w:rsid w:val="00940B65"/>
    <w:rsid w:val="00950AB6"/>
    <w:rsid w:val="009D33B1"/>
    <w:rsid w:val="009E57F7"/>
    <w:rsid w:val="00A16900"/>
    <w:rsid w:val="00AD53F2"/>
    <w:rsid w:val="00AF3699"/>
    <w:rsid w:val="00E5546D"/>
    <w:rsid w:val="00F2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401EF"/>
  <w15:chartTrackingRefBased/>
  <w15:docId w15:val="{D7CD4386-DA28-45E8-A24E-D097CB91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16C"/>
    <w:pPr>
      <w:spacing w:after="120" w:line="240" w:lineRule="auto"/>
    </w:pPr>
    <w:rPr>
      <w:rFonts w:eastAsiaTheme="minorEastAsi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16C"/>
    <w:pPr>
      <w:keepNext/>
      <w:spacing w:after="240"/>
      <w:outlineLvl w:val="0"/>
    </w:pPr>
    <w:rPr>
      <w:rFonts w:ascii="Abadi" w:eastAsiaTheme="majorEastAsia" w:hAnsi="Abadi" w:cstheme="majorBidi"/>
      <w:b/>
      <w:bCs/>
      <w:color w:val="385623" w:themeColor="accent6" w:themeShade="8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16C"/>
    <w:pPr>
      <w:keepNext/>
      <w:spacing w:before="240"/>
      <w:outlineLvl w:val="1"/>
    </w:pPr>
    <w:rPr>
      <w:rFonts w:ascii="Abadi" w:eastAsiaTheme="majorEastAsia" w:hAnsi="Abadi" w:cstheme="majorBidi"/>
      <w:b/>
      <w:bCs/>
      <w:iCs/>
      <w:color w:val="44546A" w:themeColor="text2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116C"/>
    <w:pPr>
      <w:keepNext/>
      <w:spacing w:before="240" w:after="240"/>
      <w:outlineLvl w:val="2"/>
    </w:pPr>
    <w:rPr>
      <w:rFonts w:eastAsiaTheme="majorEastAsia" w:cstheme="majorBidi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116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116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F116C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116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16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16C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16C"/>
    <w:rPr>
      <w:rFonts w:ascii="Abadi" w:eastAsiaTheme="majorEastAsia" w:hAnsi="Abadi" w:cstheme="majorBidi"/>
      <w:b/>
      <w:bCs/>
      <w:color w:val="385623" w:themeColor="accent6" w:themeShade="8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116C"/>
    <w:rPr>
      <w:rFonts w:ascii="Abadi" w:eastAsiaTheme="majorEastAsia" w:hAnsi="Abadi" w:cstheme="majorBidi"/>
      <w:b/>
      <w:bCs/>
      <w:iCs/>
      <w:color w:val="44546A" w:themeColor="text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F116C"/>
    <w:rPr>
      <w:rFonts w:eastAsiaTheme="majorEastAsia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F116C"/>
    <w:rPr>
      <w:rFonts w:eastAsiaTheme="minorEastAsia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F116C"/>
    <w:rPr>
      <w:rFonts w:eastAsiaTheme="min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F116C"/>
    <w:rPr>
      <w:rFonts w:eastAsiaTheme="minorEastAsia" w:cstheme="majorBidi"/>
      <w:b/>
      <w:b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5F116C"/>
    <w:rPr>
      <w:rFonts w:eastAsiaTheme="minorEastAsia" w:cstheme="majorBidi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16C"/>
    <w:rPr>
      <w:rFonts w:eastAsiaTheme="minorEastAsia" w:cstheme="majorBidi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16C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sid w:val="005F116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F11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16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116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116C"/>
    <w:rPr>
      <w:rFonts w:eastAsiaTheme="minorEastAs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116C"/>
    <w:rPr>
      <w:vertAlign w:val="superscript"/>
    </w:rPr>
  </w:style>
  <w:style w:type="table" w:customStyle="1" w:styleId="ListTable6Colorful1">
    <w:name w:val="List Table 6 Colorful1"/>
    <w:basedOn w:val="TableNormal"/>
    <w:uiPriority w:val="51"/>
    <w:rsid w:val="005F116C"/>
    <w:pPr>
      <w:spacing w:after="0" w:line="240" w:lineRule="auto"/>
    </w:pPr>
    <w:rPr>
      <w:rFonts w:eastAsiaTheme="minorEastAsia" w:cs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F116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F116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116C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5F116C"/>
    <w:rPr>
      <w:i/>
      <w:iCs/>
    </w:rPr>
  </w:style>
  <w:style w:type="table" w:customStyle="1" w:styleId="PlainTable51">
    <w:name w:val="Plain Table 51"/>
    <w:basedOn w:val="TableNormal"/>
    <w:uiPriority w:val="45"/>
    <w:rsid w:val="005F116C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rt0xe">
    <w:name w:val="trt0xe"/>
    <w:basedOn w:val="Normal"/>
    <w:rsid w:val="005F116C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F1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16C"/>
    <w:rPr>
      <w:rFonts w:eastAsiaTheme="minorEastAsi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F1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16C"/>
    <w:rPr>
      <w:rFonts w:eastAsiaTheme="minorEastAsi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6C"/>
    <w:rPr>
      <w:rFonts w:ascii="Segoe UI" w:eastAsiaTheme="minorEastAsia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F116C"/>
    <w:rPr>
      <w:rFonts w:asciiTheme="minorHAnsi" w:hAnsiTheme="minorHAnsi"/>
      <w:b/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116C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5F116C"/>
    <w:pPr>
      <w:jc w:val="center"/>
    </w:pPr>
    <w:rPr>
      <w:rFonts w:ascii="Calibri" w:hAnsi="Calibri" w:cs="Calibri"/>
      <w:noProof/>
      <w:sz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F116C"/>
    <w:rPr>
      <w:rFonts w:ascii="Calibri" w:eastAsiaTheme="minorEastAsia" w:hAnsi="Calibri" w:cs="Calibri"/>
      <w:noProof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F116C"/>
    <w:rPr>
      <w:rFonts w:ascii="Calibri" w:hAnsi="Calibri" w:cs="Calibri"/>
      <w:noProof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F116C"/>
    <w:rPr>
      <w:rFonts w:ascii="Calibri" w:eastAsiaTheme="minorEastAsia" w:hAnsi="Calibri" w:cs="Calibri"/>
      <w:noProof/>
      <w:szCs w:val="24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rsid w:val="005F116C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F116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F11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16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F116C"/>
    <w:rPr>
      <w:rFonts w:asciiTheme="majorHAnsi" w:eastAsiaTheme="majorEastAsia" w:hAnsiTheme="majorHAnsi" w:cstheme="majorBidi"/>
      <w:sz w:val="20"/>
      <w:szCs w:val="24"/>
    </w:rPr>
  </w:style>
  <w:style w:type="paragraph" w:styleId="NoSpacing">
    <w:name w:val="No Spacing"/>
    <w:basedOn w:val="Normal"/>
    <w:uiPriority w:val="1"/>
    <w:qFormat/>
    <w:rsid w:val="005F116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F116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F116C"/>
    <w:rPr>
      <w:rFonts w:eastAsiaTheme="minorEastAsia" w:cs="Times New Roman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16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16C"/>
    <w:rPr>
      <w:rFonts w:eastAsiaTheme="minorEastAsia" w:cs="Times New Roman"/>
      <w:b/>
      <w:i/>
      <w:sz w:val="20"/>
    </w:rPr>
  </w:style>
  <w:style w:type="character" w:styleId="SubtleEmphasis">
    <w:name w:val="Subtle Emphasis"/>
    <w:uiPriority w:val="19"/>
    <w:qFormat/>
    <w:rsid w:val="005F116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F116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F116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F116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F116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116C"/>
    <w:pPr>
      <w:outlineLvl w:val="9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F116C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semiHidden/>
    <w:rsid w:val="005F116C"/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F116C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5F116C"/>
    <w:pPr>
      <w:spacing w:before="100" w:beforeAutospacing="1" w:after="100" w:afterAutospacing="1"/>
    </w:pPr>
    <w:rPr>
      <w:rFonts w:ascii="Times" w:hAnsi="Times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F116C"/>
    <w:rPr>
      <w:rFonts w:eastAsiaTheme="minorEastAsia" w:cs="Times New Roman"/>
      <w:sz w:val="20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F11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F11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16C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16C"/>
    <w:rPr>
      <w:rFonts w:eastAsiaTheme="minorEastAsia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16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16C"/>
    <w:rPr>
      <w:rFonts w:eastAsiaTheme="minorEastAs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ceta@flinders.edu.au" TargetMode="External"/><Relationship Id="rId2" Type="http://schemas.openxmlformats.org/officeDocument/2006/relationships/hyperlink" Target="http://www.nceta.flinders.edu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Fischer</dc:creator>
  <cp:keywords/>
  <dc:description/>
  <cp:lastModifiedBy>Jane Fischer</cp:lastModifiedBy>
  <cp:revision>3</cp:revision>
  <cp:lastPrinted>2021-05-11T04:47:00Z</cp:lastPrinted>
  <dcterms:created xsi:type="dcterms:W3CDTF">2021-05-18T05:02:00Z</dcterms:created>
  <dcterms:modified xsi:type="dcterms:W3CDTF">2021-05-19T00:55:00Z</dcterms:modified>
</cp:coreProperties>
</file>