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A3BD" w14:textId="62F628AA" w:rsidR="00811179" w:rsidRPr="006A5DF6" w:rsidRDefault="00811179" w:rsidP="005324EC">
      <w:pPr>
        <w:jc w:val="center"/>
        <w:rPr>
          <w:rFonts w:ascii="Verdana" w:hAnsi="Verdana"/>
          <w:szCs w:val="20"/>
        </w:rPr>
      </w:pPr>
      <w:bookmarkStart w:id="0" w:name="_Hlk42091651"/>
      <w:bookmarkStart w:id="1" w:name="_Hlk536613771"/>
      <w:r w:rsidRPr="006A5DF6">
        <w:rPr>
          <w:rStyle w:val="Heading1Char"/>
          <w:rFonts w:ascii="Verdana" w:hAnsi="Verdana"/>
          <w:color w:val="auto"/>
          <w:sz w:val="20"/>
          <w:szCs w:val="20"/>
        </w:rPr>
        <w:t>Severity of Dependence Scale (SDS)</w:t>
      </w:r>
      <w:bookmarkEnd w:id="0"/>
    </w:p>
    <w:p w14:paraId="7296B808" w14:textId="445D8CEC" w:rsidR="00811179" w:rsidRDefault="00811179" w:rsidP="00E0070B">
      <w:pPr>
        <w:spacing w:before="120" w:line="240" w:lineRule="auto"/>
        <w:rPr>
          <w:rFonts w:ascii="Verdana" w:hAnsi="Verdana" w:cstheme="minorHAnsi"/>
          <w:i/>
          <w:iCs/>
          <w:sz w:val="12"/>
          <w:szCs w:val="12"/>
          <w:shd w:val="clear" w:color="auto" w:fill="FFFFFF"/>
        </w:rPr>
      </w:pPr>
      <w:bookmarkStart w:id="2" w:name="_Toc43128803"/>
      <w:r w:rsidRPr="00BC5783">
        <w:rPr>
          <w:rFonts w:ascii="Verdana" w:hAnsi="Verdana" w:cstheme="minorHAnsi"/>
          <w:i/>
          <w:iCs/>
          <w:sz w:val="12"/>
          <w:szCs w:val="12"/>
          <w:shd w:val="clear" w:color="auto" w:fill="FFFFFF"/>
        </w:rPr>
        <w:t>The wording of the items can be adapted to cover different types of drugs by modification of the reference to the named drug.</w:t>
      </w:r>
      <w:r w:rsidRPr="00BC5783">
        <w:rPr>
          <w:rFonts w:ascii="Verdana" w:hAnsi="Verdana" w:cstheme="minorHAnsi"/>
          <w:i/>
          <w:iCs/>
          <w:noProof/>
          <w:sz w:val="12"/>
          <w:szCs w:val="12"/>
          <w:shd w:val="clear" w:color="auto" w:fill="FFFFFF"/>
          <w:vertAlign w:val="superscript"/>
        </w:rPr>
        <w:t>[2]</w:t>
      </w:r>
      <w:r w:rsidRPr="00BC5783">
        <w:rPr>
          <w:rFonts w:ascii="Verdana" w:hAnsi="Verdana" w:cstheme="minorHAnsi"/>
          <w:i/>
          <w:iCs/>
          <w:sz w:val="12"/>
          <w:szCs w:val="12"/>
          <w:shd w:val="clear" w:color="auto" w:fill="FFFFFF"/>
        </w:rPr>
        <w:t xml:space="preserve"> Below is the generic version of the Severity of Dependence Scale.</w:t>
      </w:r>
    </w:p>
    <w:p w14:paraId="0130F411" w14:textId="177CD60C" w:rsidR="00BC5783" w:rsidRDefault="00BC5783" w:rsidP="00BC5783">
      <w:pPr>
        <w:spacing w:after="0" w:line="240" w:lineRule="auto"/>
        <w:rPr>
          <w:rFonts w:ascii="Verdana" w:hAnsi="Verdana" w:cstheme="minorHAnsi"/>
          <w:i/>
          <w:iCs/>
          <w:sz w:val="12"/>
          <w:szCs w:val="12"/>
          <w:shd w:val="clear" w:color="auto" w:fill="FFFFFF"/>
        </w:rPr>
      </w:pPr>
    </w:p>
    <w:p w14:paraId="2B2C445B" w14:textId="77777777" w:rsidR="00BC5783" w:rsidRPr="00BC5783" w:rsidRDefault="00BC5783" w:rsidP="00BC5783">
      <w:pPr>
        <w:spacing w:after="0" w:line="240" w:lineRule="auto"/>
        <w:rPr>
          <w:rFonts w:ascii="Verdana" w:hAnsi="Verdana" w:cstheme="minorHAnsi"/>
          <w:i/>
          <w:iCs/>
          <w:sz w:val="12"/>
          <w:szCs w:val="12"/>
          <w:shd w:val="clear" w:color="auto" w:fill="FFFFFF"/>
        </w:rPr>
      </w:pPr>
    </w:p>
    <w:p w14:paraId="53B142ED" w14:textId="452DE711" w:rsidR="00BC5783" w:rsidRPr="006A5DF6" w:rsidRDefault="00BC5783" w:rsidP="00BC5783">
      <w:pPr>
        <w:spacing w:before="120" w:line="240" w:lineRule="auto"/>
        <w:rPr>
          <w:rFonts w:ascii="Verdana" w:hAnsi="Verdana"/>
          <w:sz w:val="16"/>
          <w:szCs w:val="16"/>
        </w:rPr>
      </w:pPr>
      <w:r w:rsidRPr="006A5DF6">
        <w:rPr>
          <w:rFonts w:ascii="Verdana" w:hAnsi="Verdana"/>
          <w:sz w:val="16"/>
          <w:szCs w:val="16"/>
        </w:rPr>
        <w:t>Please tick (</w:t>
      </w:r>
      <w:r w:rsidRPr="006A5DF6">
        <w:rPr>
          <w:rFonts w:ascii="Verdana" w:hAnsi="Verdana"/>
          <w:sz w:val="16"/>
          <w:szCs w:val="16"/>
        </w:rPr>
        <w:sym w:font="Webdings" w:char="F061"/>
      </w:r>
      <w:r w:rsidRPr="006A5DF6">
        <w:rPr>
          <w:rFonts w:ascii="Verdana" w:hAnsi="Verdana"/>
          <w:sz w:val="16"/>
          <w:szCs w:val="16"/>
        </w:rPr>
        <w:t>) one box for each question</w:t>
      </w:r>
    </w:p>
    <w:tbl>
      <w:tblPr>
        <w:tblStyle w:val="TableGrid"/>
        <w:tblW w:w="8937" w:type="dxa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720"/>
      </w:tblGrid>
      <w:tr w:rsidR="00811179" w:rsidRPr="00E0070B" w14:paraId="6502D002" w14:textId="77777777" w:rsidTr="00BC5783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F7F7F7"/>
          </w:tcPr>
          <w:p w14:paraId="00E434EE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bookmarkStart w:id="3" w:name="_Hlk42500077"/>
            <w:bookmarkStart w:id="4" w:name="_Toc43128805"/>
            <w:bookmarkEnd w:id="2"/>
            <w:r w:rsidRPr="00BC5783">
              <w:rPr>
                <w:rFonts w:ascii="Verdana" w:hAnsi="Verdana"/>
                <w:sz w:val="16"/>
                <w:szCs w:val="16"/>
              </w:rPr>
              <w:t>Q1.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shd w:val="clear" w:color="auto" w:fill="F7F7F7"/>
          </w:tcPr>
          <w:p w14:paraId="4DCF4E00" w14:textId="037B183C" w:rsidR="00811179" w:rsidRPr="00BC5783" w:rsidRDefault="00811179" w:rsidP="00BC5783">
            <w:pPr>
              <w:spacing w:before="12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sz w:val="16"/>
                <w:szCs w:val="16"/>
              </w:rPr>
              <w:t>Did you think your use of [named drug] was out of control?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F7F7F7"/>
            <w:vAlign w:val="center"/>
          </w:tcPr>
          <w:p w14:paraId="24F0310B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Never or almost never</w:t>
            </w:r>
          </w:p>
          <w:p w14:paraId="2D96262C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Sometimes</w:t>
            </w:r>
          </w:p>
          <w:p w14:paraId="74434225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Often</w:t>
            </w:r>
          </w:p>
          <w:p w14:paraId="534D6F50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Always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F7F7F7"/>
            <w:vAlign w:val="center"/>
          </w:tcPr>
          <w:p w14:paraId="5CB4433A" w14:textId="075C378F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0</w:t>
            </w:r>
          </w:p>
          <w:p w14:paraId="0A83E8E2" w14:textId="49F90C0D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14:paraId="0189CD4B" w14:textId="278F5AAE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2</w:t>
            </w:r>
          </w:p>
          <w:p w14:paraId="1E9569A6" w14:textId="7AAA71EE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</w:tr>
      <w:tr w:rsidR="00811179" w:rsidRPr="00E0070B" w14:paraId="2FB28809" w14:textId="77777777" w:rsidTr="00BC5783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nil"/>
            </w:tcBorders>
          </w:tcPr>
          <w:p w14:paraId="37F2C5BD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Q2.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14:paraId="7798C01E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sz w:val="16"/>
                <w:szCs w:val="16"/>
              </w:rPr>
              <w:t xml:space="preserve">Did the prospect of missing </w:t>
            </w:r>
            <w:r w:rsidRPr="00BC5783">
              <w:rPr>
                <w:rFonts w:ascii="Verdana" w:hAnsi="Verdana" w:cstheme="minorHAnsi"/>
                <w:color w:val="333333"/>
                <w:sz w:val="16"/>
                <w:szCs w:val="16"/>
              </w:rPr>
              <w:t xml:space="preserve">a fix (or dose) or not chasing </w:t>
            </w:r>
            <w:r w:rsidRPr="00BC5783">
              <w:rPr>
                <w:rFonts w:ascii="Verdana" w:hAnsi="Verdana" w:cstheme="minorHAnsi"/>
                <w:sz w:val="16"/>
                <w:szCs w:val="16"/>
              </w:rPr>
              <w:t>make you anxious or worried?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0F44A5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Never or almost never</w:t>
            </w:r>
          </w:p>
          <w:p w14:paraId="76C9509E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Sometimes</w:t>
            </w:r>
          </w:p>
          <w:p w14:paraId="2426C612" w14:textId="77777777" w:rsidR="00811179" w:rsidRPr="00BC5783" w:rsidRDefault="00811179" w:rsidP="00BC5783">
            <w:pPr>
              <w:tabs>
                <w:tab w:val="left" w:pos="4536"/>
              </w:tabs>
              <w:spacing w:before="120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Often</w:t>
            </w:r>
          </w:p>
          <w:p w14:paraId="7E896000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Always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4DA6E" w14:textId="5401FD2A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0</w:t>
            </w:r>
          </w:p>
          <w:p w14:paraId="41ACA6AC" w14:textId="6C3AF7FD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14:paraId="1782DFF1" w14:textId="6A349B4C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2</w:t>
            </w:r>
          </w:p>
          <w:p w14:paraId="12D5D0A8" w14:textId="3A9F5716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</w:tr>
      <w:tr w:rsidR="00811179" w:rsidRPr="00E0070B" w14:paraId="38CB4C3A" w14:textId="77777777" w:rsidTr="00BC5783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F7F7F7"/>
          </w:tcPr>
          <w:p w14:paraId="6F19944A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Q3.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shd w:val="clear" w:color="auto" w:fill="F7F7F7"/>
          </w:tcPr>
          <w:p w14:paraId="435ABE9D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sz w:val="16"/>
                <w:szCs w:val="16"/>
              </w:rPr>
              <w:t>Did you worry about your use of [named drug]?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F7F7F7"/>
            <w:vAlign w:val="center"/>
          </w:tcPr>
          <w:p w14:paraId="0B4F5DE3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Never or almost never</w:t>
            </w:r>
          </w:p>
          <w:p w14:paraId="7ED18090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Sometimes</w:t>
            </w:r>
          </w:p>
          <w:p w14:paraId="463E0FDF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Often</w:t>
            </w:r>
          </w:p>
          <w:p w14:paraId="55F3A5B8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Always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F7F7F7"/>
            <w:vAlign w:val="center"/>
          </w:tcPr>
          <w:p w14:paraId="7F295729" w14:textId="6DF8E234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0</w:t>
            </w:r>
          </w:p>
          <w:p w14:paraId="7001BF7F" w14:textId="7BC0B373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14:paraId="0E1C51DE" w14:textId="37528119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2</w:t>
            </w:r>
          </w:p>
          <w:p w14:paraId="6F7D6652" w14:textId="01F83C94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</w:tr>
      <w:tr w:rsidR="00811179" w:rsidRPr="00E0070B" w14:paraId="54071843" w14:textId="77777777" w:rsidTr="00BC5783">
        <w:trPr>
          <w:jc w:val="center"/>
        </w:trPr>
        <w:tc>
          <w:tcPr>
            <w:tcW w:w="562" w:type="dxa"/>
            <w:tcBorders>
              <w:bottom w:val="single" w:sz="4" w:space="0" w:color="auto"/>
              <w:right w:val="nil"/>
            </w:tcBorders>
          </w:tcPr>
          <w:p w14:paraId="6A383166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Q4.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14:paraId="08CBF837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sz w:val="16"/>
                <w:szCs w:val="16"/>
              </w:rPr>
              <w:t>Did you wish you could stop?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FE0783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Never or almost never</w:t>
            </w:r>
          </w:p>
          <w:p w14:paraId="1372E28B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Sometimes</w:t>
            </w:r>
          </w:p>
          <w:p w14:paraId="39699995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Often</w:t>
            </w:r>
          </w:p>
          <w:p w14:paraId="2335AD9E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iCs/>
                <w:sz w:val="16"/>
                <w:szCs w:val="16"/>
              </w:rPr>
              <w:t>Always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23A9F" w14:textId="0FBDC4C8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0</w:t>
            </w:r>
          </w:p>
          <w:p w14:paraId="369FD6C1" w14:textId="49F27ECE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14:paraId="2CFE80A8" w14:textId="24DA4D28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2</w:t>
            </w:r>
          </w:p>
          <w:p w14:paraId="3A9A7F01" w14:textId="3FAD6FB0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</w:tr>
      <w:tr w:rsidR="00811179" w:rsidRPr="00E0070B" w14:paraId="0BDCBF23" w14:textId="77777777" w:rsidTr="006A5DF6">
        <w:trPr>
          <w:jc w:val="center"/>
        </w:trPr>
        <w:tc>
          <w:tcPr>
            <w:tcW w:w="562" w:type="dxa"/>
            <w:tcBorders>
              <w:bottom w:val="single" w:sz="8" w:space="0" w:color="auto"/>
              <w:right w:val="nil"/>
            </w:tcBorders>
            <w:shd w:val="clear" w:color="auto" w:fill="F7F7F7"/>
          </w:tcPr>
          <w:p w14:paraId="2F3AA672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Q5.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nil"/>
            </w:tcBorders>
            <w:shd w:val="clear" w:color="auto" w:fill="F7F7F7"/>
          </w:tcPr>
          <w:p w14:paraId="781030A9" w14:textId="77777777" w:rsidR="00811179" w:rsidRPr="00BC5783" w:rsidRDefault="00811179" w:rsidP="00BC5783">
            <w:pPr>
              <w:spacing w:before="12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BC5783">
              <w:rPr>
                <w:rFonts w:ascii="Verdana" w:hAnsi="Verdana" w:cstheme="minorHAnsi"/>
                <w:sz w:val="16"/>
                <w:szCs w:val="16"/>
              </w:rPr>
              <w:t>How difficult would you find it to stop or go without [named drug]?</w:t>
            </w:r>
          </w:p>
        </w:tc>
        <w:tc>
          <w:tcPr>
            <w:tcW w:w="2977" w:type="dxa"/>
            <w:tcBorders>
              <w:left w:val="nil"/>
              <w:bottom w:val="single" w:sz="8" w:space="0" w:color="auto"/>
              <w:right w:val="nil"/>
            </w:tcBorders>
            <w:shd w:val="clear" w:color="auto" w:fill="F7F7F7"/>
            <w:vAlign w:val="center"/>
          </w:tcPr>
          <w:p w14:paraId="2027CE04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Not difficult</w:t>
            </w:r>
          </w:p>
          <w:p w14:paraId="3217246E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Quite difficult</w:t>
            </w:r>
          </w:p>
          <w:p w14:paraId="3CDD538C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Very difficult</w:t>
            </w:r>
          </w:p>
          <w:p w14:paraId="11DAF58F" w14:textId="77777777" w:rsidR="00811179" w:rsidRPr="00BC5783" w:rsidRDefault="00811179" w:rsidP="00E0070B">
            <w:pPr>
              <w:tabs>
                <w:tab w:val="left" w:pos="4536"/>
              </w:tabs>
              <w:spacing w:before="120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  <w:r w:rsidRPr="00BC5783">
              <w:rPr>
                <w:rFonts w:ascii="Verdana" w:hAnsi="Verdana"/>
                <w:sz w:val="16"/>
                <w:szCs w:val="16"/>
              </w:rPr>
              <w:t>Impossible</w:t>
            </w:r>
          </w:p>
        </w:tc>
        <w:tc>
          <w:tcPr>
            <w:tcW w:w="720" w:type="dxa"/>
            <w:tcBorders>
              <w:left w:val="nil"/>
              <w:bottom w:val="single" w:sz="8" w:space="0" w:color="auto"/>
            </w:tcBorders>
            <w:shd w:val="clear" w:color="auto" w:fill="F7F7F7"/>
            <w:vAlign w:val="center"/>
          </w:tcPr>
          <w:p w14:paraId="180B1E4F" w14:textId="3E573DCA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0</w:t>
            </w:r>
          </w:p>
          <w:p w14:paraId="7D966861" w14:textId="73FDF039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1</w:t>
            </w:r>
          </w:p>
          <w:p w14:paraId="0E2F4D79" w14:textId="0092C13C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2</w:t>
            </w:r>
          </w:p>
          <w:p w14:paraId="47BBD4BA" w14:textId="2D3DC3E1" w:rsidR="00811179" w:rsidRPr="00BC5783" w:rsidRDefault="00BC5783" w:rsidP="00E0070B">
            <w:pPr>
              <w:spacing w:before="12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sym w:font="Webdings" w:char="F063"/>
            </w:r>
            <w:r w:rsidR="00811179" w:rsidRPr="00BC5783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</w:tr>
      <w:bookmarkEnd w:id="3"/>
      <w:tr w:rsidR="00811179" w:rsidRPr="00E0070B" w14:paraId="71D389E8" w14:textId="77777777" w:rsidTr="008018FE">
        <w:trPr>
          <w:trHeight w:val="351"/>
          <w:jc w:val="center"/>
        </w:trPr>
        <w:tc>
          <w:tcPr>
            <w:tcW w:w="8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E9D53D8" w14:textId="77777777" w:rsidR="00811179" w:rsidRPr="00BC5783" w:rsidRDefault="00811179" w:rsidP="00BC5783">
            <w:pPr>
              <w:spacing w:before="120" w:line="240" w:lineRule="auto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C5783">
              <w:rPr>
                <w:rFonts w:ascii="Verdana" w:hAnsi="Verdana"/>
                <w:b/>
                <w:bCs/>
                <w:sz w:val="12"/>
                <w:szCs w:val="12"/>
              </w:rPr>
              <w:t>Total Score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D2B50" w14:textId="77777777" w:rsidR="00811179" w:rsidRPr="00BC5783" w:rsidRDefault="00811179" w:rsidP="00E0070B">
            <w:pPr>
              <w:spacing w:before="12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3BAEDC3F" w14:textId="77777777" w:rsidR="005324EC" w:rsidRPr="006A5DF6" w:rsidRDefault="005324EC" w:rsidP="00E0070B">
      <w:pPr>
        <w:pStyle w:val="Heading2"/>
        <w:spacing w:before="120"/>
        <w:rPr>
          <w:sz w:val="8"/>
          <w:szCs w:val="8"/>
        </w:rPr>
      </w:pPr>
      <w:bookmarkStart w:id="5" w:name="_Hlk43980610"/>
    </w:p>
    <w:p w14:paraId="58647D73" w14:textId="77777777" w:rsidR="00E0070B" w:rsidRPr="006A5DF6" w:rsidRDefault="00E0070B" w:rsidP="005324EC">
      <w:pPr>
        <w:spacing w:after="0" w:line="240" w:lineRule="auto"/>
        <w:ind w:right="-100"/>
        <w:rPr>
          <w:rFonts w:ascii="Abadi" w:hAnsi="Abadi"/>
          <w:b/>
          <w:bCs/>
          <w:sz w:val="8"/>
          <w:szCs w:val="8"/>
        </w:rPr>
        <w:sectPr w:rsidR="00E0070B" w:rsidRPr="006A5DF6" w:rsidSect="001D4ECA">
          <w:pgSz w:w="11906" w:h="16838"/>
          <w:pgMar w:top="1440" w:right="1440" w:bottom="1440" w:left="1440" w:header="709" w:footer="408" w:gutter="0"/>
          <w:pgNumType w:start="1"/>
          <w:cols w:space="708"/>
          <w:docGrid w:linePitch="360"/>
        </w:sectPr>
      </w:pPr>
    </w:p>
    <w:p w14:paraId="6B158FB5" w14:textId="54B6C007" w:rsidR="005324EC" w:rsidRDefault="005324EC" w:rsidP="00BC5783">
      <w:pPr>
        <w:spacing w:after="0"/>
        <w:ind w:right="-100"/>
        <w:rPr>
          <w:rFonts w:ascii="Verdana" w:hAnsi="Verdana" w:cstheme="minorHAnsi"/>
          <w:sz w:val="12"/>
          <w:szCs w:val="12"/>
        </w:rPr>
      </w:pPr>
      <w:r w:rsidRPr="00BC5783">
        <w:rPr>
          <w:rFonts w:ascii="Verdana" w:hAnsi="Verdana"/>
          <w:b/>
          <w:bCs/>
          <w:sz w:val="12"/>
          <w:szCs w:val="12"/>
        </w:rPr>
        <w:lastRenderedPageBreak/>
        <w:t>Scoring and interpretation</w:t>
      </w:r>
      <w:r w:rsidRPr="00BC5783">
        <w:rPr>
          <w:rFonts w:ascii="Verdana" w:hAnsi="Verdana"/>
          <w:sz w:val="12"/>
          <w:szCs w:val="12"/>
        </w:rPr>
        <w:t xml:space="preserve">:  </w:t>
      </w:r>
      <w:r w:rsidRPr="00BC5783">
        <w:rPr>
          <w:rFonts w:ascii="Verdana" w:hAnsi="Verdana" w:cs="Calibri"/>
          <w:color w:val="000000"/>
          <w:sz w:val="12"/>
          <w:szCs w:val="12"/>
        </w:rPr>
        <w:t xml:space="preserve">The five item SDS can be administered to screen for problem/risky use of </w:t>
      </w:r>
      <w:proofErr w:type="gramStart"/>
      <w:r w:rsidRPr="00BC5783">
        <w:rPr>
          <w:rFonts w:ascii="Verdana" w:hAnsi="Verdana" w:cs="Calibri"/>
          <w:color w:val="000000"/>
          <w:sz w:val="12"/>
          <w:szCs w:val="12"/>
        </w:rPr>
        <w:t>a number of</w:t>
      </w:r>
      <w:proofErr w:type="gramEnd"/>
      <w:r w:rsidRPr="00BC5783">
        <w:rPr>
          <w:rFonts w:ascii="Verdana" w:hAnsi="Verdana" w:cs="Calibri"/>
          <w:color w:val="000000"/>
          <w:sz w:val="12"/>
          <w:szCs w:val="12"/>
        </w:rPr>
        <w:t xml:space="preserve"> substances.  </w:t>
      </w:r>
      <w:r w:rsidRPr="00BC5783">
        <w:rPr>
          <w:rFonts w:ascii="Verdana" w:hAnsi="Verdana" w:cstheme="minorHAnsi"/>
          <w:sz w:val="12"/>
          <w:szCs w:val="12"/>
        </w:rPr>
        <w:t xml:space="preserve">Each question is scored either 0,1,2, or 3.  A total score is calculated by summing the responses to all five questions. </w:t>
      </w:r>
      <w:bookmarkStart w:id="6" w:name="_Hlk41387557"/>
      <w:r w:rsidRPr="00BC5783">
        <w:rPr>
          <w:rFonts w:ascii="Verdana" w:hAnsi="Verdana" w:cstheme="minorHAnsi"/>
          <w:sz w:val="12"/>
          <w:szCs w:val="12"/>
        </w:rPr>
        <w:t xml:space="preserve"> </w:t>
      </w:r>
      <w:r w:rsidRPr="00BC5783">
        <w:rPr>
          <w:rFonts w:ascii="Verdana" w:hAnsi="Verdana"/>
          <w:sz w:val="12"/>
          <w:szCs w:val="12"/>
        </w:rPr>
        <w:t>The minimum total score possible is 0, and the maximum total score possible is 15 (i.e. total score range: 0-15).</w:t>
      </w:r>
      <w:bookmarkEnd w:id="6"/>
      <w:r w:rsidRPr="00BC5783">
        <w:rPr>
          <w:rFonts w:ascii="Verdana" w:hAnsi="Verdana"/>
          <w:sz w:val="12"/>
          <w:szCs w:val="12"/>
        </w:rPr>
        <w:t xml:space="preserve">  </w:t>
      </w:r>
      <w:r w:rsidRPr="00BC5783">
        <w:rPr>
          <w:rFonts w:ascii="Verdana" w:hAnsi="Verdana" w:cstheme="minorHAnsi"/>
          <w:sz w:val="12"/>
          <w:szCs w:val="12"/>
        </w:rPr>
        <w:t>A higher total score indicates a higher level of dependence. See below for cut-offs for various drugs.</w:t>
      </w:r>
    </w:p>
    <w:p w14:paraId="01F1BA2B" w14:textId="77777777" w:rsidR="00BC5783" w:rsidRPr="00BC5783" w:rsidRDefault="00BC5783" w:rsidP="00BC5783">
      <w:pPr>
        <w:spacing w:after="0"/>
        <w:ind w:right="-100"/>
        <w:rPr>
          <w:rFonts w:ascii="Verdana" w:hAnsi="Verdana"/>
          <w:sz w:val="12"/>
          <w:szCs w:val="12"/>
        </w:rPr>
      </w:pPr>
    </w:p>
    <w:p w14:paraId="3F0AC08A" w14:textId="77777777" w:rsidR="005324EC" w:rsidRPr="00BC5783" w:rsidRDefault="005324EC" w:rsidP="006A5DF6">
      <w:pPr>
        <w:pStyle w:val="ListParagraph"/>
        <w:spacing w:after="0" w:line="360" w:lineRule="auto"/>
        <w:ind w:left="360"/>
        <w:jc w:val="center"/>
        <w:rPr>
          <w:rFonts w:ascii="Verdana" w:hAnsi="Verdana" w:cstheme="minorHAnsi"/>
          <w:b/>
          <w:bCs/>
          <w:sz w:val="12"/>
          <w:szCs w:val="12"/>
        </w:rPr>
      </w:pPr>
      <w:r w:rsidRPr="00BC5783">
        <w:rPr>
          <w:rFonts w:ascii="Verdana" w:hAnsi="Verdana" w:cstheme="minorHAnsi"/>
          <w:b/>
          <w:bCs/>
          <w:sz w:val="12"/>
          <w:szCs w:val="12"/>
        </w:rPr>
        <w:t>Cut-off SDS scores for various drugs of concern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029"/>
        <w:gridCol w:w="3827"/>
      </w:tblGrid>
      <w:tr w:rsidR="005324EC" w:rsidRPr="00BC5783" w14:paraId="2C4F9C1C" w14:textId="77777777" w:rsidTr="006A5DF6">
        <w:trPr>
          <w:jc w:val="center"/>
        </w:trPr>
        <w:tc>
          <w:tcPr>
            <w:tcW w:w="1949" w:type="dxa"/>
          </w:tcPr>
          <w:p w14:paraId="1A89540A" w14:textId="77777777" w:rsidR="005324EC" w:rsidRPr="00BC5783" w:rsidRDefault="005324EC" w:rsidP="00BC5783">
            <w:pPr>
              <w:spacing w:after="0"/>
              <w:jc w:val="center"/>
              <w:rPr>
                <w:rFonts w:ascii="Verdana" w:hAnsi="Verdana" w:cstheme="minorHAnsi"/>
                <w:b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b/>
                <w:sz w:val="12"/>
                <w:szCs w:val="12"/>
              </w:rPr>
              <w:t>Drug of Concern</w:t>
            </w:r>
          </w:p>
        </w:tc>
        <w:tc>
          <w:tcPr>
            <w:tcW w:w="1029" w:type="dxa"/>
          </w:tcPr>
          <w:p w14:paraId="2169B84F" w14:textId="77777777" w:rsidR="005324EC" w:rsidRPr="00BC5783" w:rsidRDefault="005324EC" w:rsidP="00BC5783">
            <w:pPr>
              <w:spacing w:after="0"/>
              <w:jc w:val="center"/>
              <w:rPr>
                <w:rFonts w:ascii="Verdana" w:hAnsi="Verdana" w:cstheme="minorHAnsi"/>
                <w:b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b/>
                <w:sz w:val="12"/>
                <w:szCs w:val="12"/>
              </w:rPr>
              <w:t>Cut-off</w:t>
            </w:r>
          </w:p>
        </w:tc>
        <w:tc>
          <w:tcPr>
            <w:tcW w:w="3827" w:type="dxa"/>
          </w:tcPr>
          <w:p w14:paraId="6FD07CC6" w14:textId="77777777" w:rsidR="005324EC" w:rsidRPr="00BC5783" w:rsidRDefault="005324EC" w:rsidP="00BC5783">
            <w:pPr>
              <w:spacing w:after="0"/>
              <w:jc w:val="center"/>
              <w:rPr>
                <w:rFonts w:ascii="Verdana" w:hAnsi="Verdana" w:cstheme="minorHAnsi"/>
                <w:b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b/>
                <w:sz w:val="12"/>
                <w:szCs w:val="12"/>
              </w:rPr>
              <w:t>Reference</w:t>
            </w:r>
          </w:p>
        </w:tc>
      </w:tr>
      <w:tr w:rsidR="00E0070B" w:rsidRPr="00BC5783" w14:paraId="7A10FCBA" w14:textId="77777777" w:rsidTr="006A5DF6">
        <w:trPr>
          <w:jc w:val="center"/>
        </w:trPr>
        <w:tc>
          <w:tcPr>
            <w:tcW w:w="1949" w:type="dxa"/>
          </w:tcPr>
          <w:p w14:paraId="0524B278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Alcohol</w:t>
            </w:r>
          </w:p>
        </w:tc>
        <w:tc>
          <w:tcPr>
            <w:tcW w:w="1029" w:type="dxa"/>
            <w:vAlign w:val="center"/>
          </w:tcPr>
          <w:p w14:paraId="6BDF6654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3 or more</w:t>
            </w:r>
          </w:p>
        </w:tc>
        <w:tc>
          <w:tcPr>
            <w:tcW w:w="3827" w:type="dxa"/>
          </w:tcPr>
          <w:p w14:paraId="7465A251" w14:textId="65003C4E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proofErr w:type="spellStart"/>
            <w:r w:rsidRPr="00BC5783">
              <w:rPr>
                <w:rFonts w:ascii="Verdana" w:hAnsi="Verdana" w:cstheme="minorHAnsi"/>
                <w:sz w:val="12"/>
                <w:szCs w:val="12"/>
              </w:rPr>
              <w:t>Lawrinson</w:t>
            </w:r>
            <w:proofErr w:type="spellEnd"/>
            <w:r w:rsidRPr="00BC5783">
              <w:rPr>
                <w:rFonts w:ascii="Verdana" w:hAnsi="Verdana" w:cstheme="minorHAnsi"/>
                <w:sz w:val="12"/>
                <w:szCs w:val="12"/>
              </w:rPr>
              <w:t>, et al., 2007</w:t>
            </w:r>
          </w:p>
        </w:tc>
      </w:tr>
      <w:tr w:rsidR="00E0070B" w:rsidRPr="00BC5783" w14:paraId="5CEAA7C0" w14:textId="77777777" w:rsidTr="006A5DF6">
        <w:trPr>
          <w:jc w:val="center"/>
        </w:trPr>
        <w:tc>
          <w:tcPr>
            <w:tcW w:w="1949" w:type="dxa"/>
          </w:tcPr>
          <w:p w14:paraId="78BC5CC9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Amphetamine</w:t>
            </w:r>
          </w:p>
        </w:tc>
        <w:tc>
          <w:tcPr>
            <w:tcW w:w="1029" w:type="dxa"/>
            <w:vAlign w:val="center"/>
          </w:tcPr>
          <w:p w14:paraId="6D40768A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5 or more</w:t>
            </w:r>
          </w:p>
        </w:tc>
        <w:tc>
          <w:tcPr>
            <w:tcW w:w="3827" w:type="dxa"/>
          </w:tcPr>
          <w:p w14:paraId="5D107F25" w14:textId="44508B69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  <w:highlight w:val="yellow"/>
              </w:rPr>
            </w:pPr>
            <w:proofErr w:type="spellStart"/>
            <w:r w:rsidRPr="00BC5783">
              <w:rPr>
                <w:rFonts w:ascii="Verdana" w:hAnsi="Verdana" w:cstheme="minorHAnsi"/>
                <w:sz w:val="12"/>
                <w:szCs w:val="12"/>
              </w:rPr>
              <w:t>Topp</w:t>
            </w:r>
            <w:proofErr w:type="spellEnd"/>
            <w:r w:rsidRPr="00BC5783">
              <w:rPr>
                <w:rFonts w:ascii="Verdana" w:hAnsi="Verdana" w:cstheme="minorHAnsi"/>
                <w:sz w:val="12"/>
                <w:szCs w:val="12"/>
              </w:rPr>
              <w:t xml:space="preserve"> &amp; Mattick, 1997</w:t>
            </w:r>
          </w:p>
        </w:tc>
      </w:tr>
      <w:tr w:rsidR="00E0070B" w:rsidRPr="00BC5783" w14:paraId="2583E076" w14:textId="77777777" w:rsidTr="006A5DF6">
        <w:trPr>
          <w:jc w:val="center"/>
        </w:trPr>
        <w:tc>
          <w:tcPr>
            <w:tcW w:w="1949" w:type="dxa"/>
          </w:tcPr>
          <w:p w14:paraId="31324D83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Analgesics</w:t>
            </w:r>
          </w:p>
        </w:tc>
        <w:tc>
          <w:tcPr>
            <w:tcW w:w="1029" w:type="dxa"/>
            <w:vAlign w:val="center"/>
          </w:tcPr>
          <w:p w14:paraId="71D46F7B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5 or more</w:t>
            </w:r>
          </w:p>
        </w:tc>
        <w:tc>
          <w:tcPr>
            <w:tcW w:w="3827" w:type="dxa"/>
          </w:tcPr>
          <w:p w14:paraId="7DC5BA2A" w14:textId="01B9F748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Grande, et al., 2009</w:t>
            </w:r>
          </w:p>
        </w:tc>
      </w:tr>
      <w:tr w:rsidR="00E0070B" w:rsidRPr="00BC5783" w14:paraId="55448CFF" w14:textId="77777777" w:rsidTr="006A5DF6">
        <w:trPr>
          <w:jc w:val="center"/>
        </w:trPr>
        <w:tc>
          <w:tcPr>
            <w:tcW w:w="1949" w:type="dxa"/>
          </w:tcPr>
          <w:p w14:paraId="4F46C471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Benzodiazepine</w:t>
            </w:r>
          </w:p>
        </w:tc>
        <w:tc>
          <w:tcPr>
            <w:tcW w:w="1029" w:type="dxa"/>
            <w:vAlign w:val="center"/>
          </w:tcPr>
          <w:p w14:paraId="68EAF804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7 or more</w:t>
            </w:r>
          </w:p>
        </w:tc>
        <w:tc>
          <w:tcPr>
            <w:tcW w:w="3827" w:type="dxa"/>
          </w:tcPr>
          <w:p w14:paraId="1939B0E9" w14:textId="60C43790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De Las Cuevas, et al., 2000</w:t>
            </w:r>
          </w:p>
        </w:tc>
      </w:tr>
      <w:tr w:rsidR="00E0070B" w:rsidRPr="00BC5783" w14:paraId="2A6E3079" w14:textId="77777777" w:rsidTr="006A5DF6">
        <w:trPr>
          <w:jc w:val="center"/>
        </w:trPr>
        <w:tc>
          <w:tcPr>
            <w:tcW w:w="1949" w:type="dxa"/>
          </w:tcPr>
          <w:p w14:paraId="41E1EEE0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Cannabis</w:t>
            </w:r>
          </w:p>
        </w:tc>
        <w:tc>
          <w:tcPr>
            <w:tcW w:w="1029" w:type="dxa"/>
            <w:vAlign w:val="center"/>
          </w:tcPr>
          <w:p w14:paraId="1395D1DB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3 or more</w:t>
            </w:r>
          </w:p>
        </w:tc>
        <w:tc>
          <w:tcPr>
            <w:tcW w:w="3827" w:type="dxa"/>
          </w:tcPr>
          <w:p w14:paraId="75A08729" w14:textId="777DD631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  <w:highlight w:val="yellow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Swift, Copeland &amp; Hall, 1998</w:t>
            </w:r>
          </w:p>
        </w:tc>
      </w:tr>
      <w:tr w:rsidR="00E0070B" w:rsidRPr="00BC5783" w14:paraId="2267D6F5" w14:textId="77777777" w:rsidTr="006A5DF6">
        <w:trPr>
          <w:jc w:val="center"/>
        </w:trPr>
        <w:tc>
          <w:tcPr>
            <w:tcW w:w="1949" w:type="dxa"/>
          </w:tcPr>
          <w:p w14:paraId="6046601B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Cocaine</w:t>
            </w:r>
          </w:p>
        </w:tc>
        <w:tc>
          <w:tcPr>
            <w:tcW w:w="1029" w:type="dxa"/>
            <w:vAlign w:val="center"/>
          </w:tcPr>
          <w:p w14:paraId="06E1D6F6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3 or more</w:t>
            </w:r>
          </w:p>
        </w:tc>
        <w:tc>
          <w:tcPr>
            <w:tcW w:w="3827" w:type="dxa"/>
          </w:tcPr>
          <w:p w14:paraId="2100451B" w14:textId="58EFFA3F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Kaye &amp; Darke, 2002</w:t>
            </w:r>
          </w:p>
        </w:tc>
      </w:tr>
      <w:tr w:rsidR="00E0070B" w:rsidRPr="00BC5783" w14:paraId="4F6D9923" w14:textId="77777777" w:rsidTr="006A5DF6">
        <w:trPr>
          <w:jc w:val="center"/>
        </w:trPr>
        <w:tc>
          <w:tcPr>
            <w:tcW w:w="1949" w:type="dxa"/>
          </w:tcPr>
          <w:p w14:paraId="04AE26AF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Ecstasy</w:t>
            </w:r>
          </w:p>
        </w:tc>
        <w:tc>
          <w:tcPr>
            <w:tcW w:w="1029" w:type="dxa"/>
            <w:vAlign w:val="center"/>
          </w:tcPr>
          <w:p w14:paraId="280ECB76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4 or more</w:t>
            </w:r>
          </w:p>
        </w:tc>
        <w:tc>
          <w:tcPr>
            <w:tcW w:w="3827" w:type="dxa"/>
          </w:tcPr>
          <w:p w14:paraId="5AA03712" w14:textId="4AB8D505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Bruno, et al., 2009</w:t>
            </w:r>
          </w:p>
        </w:tc>
      </w:tr>
      <w:tr w:rsidR="00E0070B" w:rsidRPr="00BC5783" w14:paraId="61BF3E57" w14:textId="77777777" w:rsidTr="006A5DF6">
        <w:trPr>
          <w:jc w:val="center"/>
        </w:trPr>
        <w:tc>
          <w:tcPr>
            <w:tcW w:w="1949" w:type="dxa"/>
          </w:tcPr>
          <w:p w14:paraId="3A98A743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Heroin</w:t>
            </w:r>
          </w:p>
        </w:tc>
        <w:tc>
          <w:tcPr>
            <w:tcW w:w="1029" w:type="dxa"/>
            <w:vAlign w:val="center"/>
          </w:tcPr>
          <w:p w14:paraId="0D557D20" w14:textId="77777777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r w:rsidRPr="00BC5783">
              <w:rPr>
                <w:rFonts w:ascii="Verdana" w:hAnsi="Verdana" w:cstheme="minorHAnsi"/>
                <w:sz w:val="12"/>
                <w:szCs w:val="12"/>
              </w:rPr>
              <w:t>5 or more</w:t>
            </w:r>
          </w:p>
        </w:tc>
        <w:tc>
          <w:tcPr>
            <w:tcW w:w="3827" w:type="dxa"/>
          </w:tcPr>
          <w:p w14:paraId="23ADE88D" w14:textId="02828A4C" w:rsidR="00E0070B" w:rsidRPr="00BC5783" w:rsidRDefault="00E0070B" w:rsidP="00BC5783">
            <w:pPr>
              <w:spacing w:after="0"/>
              <w:rPr>
                <w:rFonts w:ascii="Verdana" w:hAnsi="Verdana" w:cstheme="minorHAnsi"/>
                <w:sz w:val="12"/>
                <w:szCs w:val="12"/>
              </w:rPr>
            </w:pPr>
            <w:proofErr w:type="spellStart"/>
            <w:r w:rsidRPr="00BC5783">
              <w:rPr>
                <w:rFonts w:ascii="Verdana" w:hAnsi="Verdana" w:cstheme="minorHAnsi"/>
                <w:sz w:val="12"/>
                <w:szCs w:val="12"/>
              </w:rPr>
              <w:t>Gossop</w:t>
            </w:r>
            <w:proofErr w:type="spellEnd"/>
            <w:r w:rsidRPr="00BC5783">
              <w:rPr>
                <w:rFonts w:ascii="Verdana" w:hAnsi="Verdana" w:cstheme="minorHAnsi"/>
                <w:sz w:val="12"/>
                <w:szCs w:val="12"/>
              </w:rPr>
              <w:t xml:space="preserve"> et al., 1995</w:t>
            </w:r>
          </w:p>
        </w:tc>
      </w:tr>
    </w:tbl>
    <w:p w14:paraId="6C63595E" w14:textId="317FAD22" w:rsidR="005324EC" w:rsidRDefault="005324EC" w:rsidP="00BC5783">
      <w:pPr>
        <w:spacing w:after="0"/>
        <w:rPr>
          <w:rFonts w:ascii="Verdana" w:hAnsi="Verdana"/>
          <w:b/>
          <w:bCs/>
          <w:sz w:val="12"/>
          <w:szCs w:val="12"/>
        </w:rPr>
      </w:pPr>
    </w:p>
    <w:p w14:paraId="0A21BCF6" w14:textId="77777777" w:rsidR="00BC5783" w:rsidRPr="00BC5783" w:rsidRDefault="00BC5783" w:rsidP="00BC5783">
      <w:pPr>
        <w:spacing w:after="0"/>
        <w:rPr>
          <w:rFonts w:ascii="Verdana" w:hAnsi="Verdana"/>
          <w:b/>
          <w:bCs/>
          <w:sz w:val="12"/>
          <w:szCs w:val="12"/>
        </w:rPr>
      </w:pPr>
    </w:p>
    <w:p w14:paraId="04B56C5C" w14:textId="164B936C" w:rsidR="005324EC" w:rsidRPr="00BC5783" w:rsidRDefault="005324EC" w:rsidP="00BC5783">
      <w:pPr>
        <w:spacing w:after="0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b/>
          <w:bCs/>
          <w:sz w:val="12"/>
          <w:szCs w:val="12"/>
        </w:rPr>
        <w:t>Tool citation</w:t>
      </w:r>
      <w:r w:rsidRPr="00BC5783">
        <w:rPr>
          <w:rFonts w:ascii="Verdana" w:hAnsi="Verdana"/>
          <w:sz w:val="12"/>
          <w:szCs w:val="12"/>
        </w:rPr>
        <w:t xml:space="preserve">: </w:t>
      </w:r>
      <w:proofErr w:type="spellStart"/>
      <w:r w:rsidRPr="00BC5783">
        <w:rPr>
          <w:rFonts w:ascii="Verdana" w:hAnsi="Verdana" w:cstheme="minorHAnsi"/>
          <w:sz w:val="12"/>
          <w:szCs w:val="12"/>
        </w:rPr>
        <w:t>Gossop</w:t>
      </w:r>
      <w:proofErr w:type="spellEnd"/>
      <w:r w:rsidRPr="00BC5783">
        <w:rPr>
          <w:rFonts w:ascii="Verdana" w:hAnsi="Verdana" w:cstheme="minorHAnsi"/>
          <w:sz w:val="12"/>
          <w:szCs w:val="12"/>
        </w:rPr>
        <w:t>, M., Darke, S., Griffiths, P., et al. The Severity of Dependence Scale (SDS): psychometric properties of the SDS in English and Australian samples of heroin, cocaine and amphetamine users</w:t>
      </w:r>
      <w:r w:rsidRPr="00BC5783">
        <w:rPr>
          <w:rFonts w:ascii="Verdana" w:hAnsi="Verdana" w:cstheme="minorHAnsi"/>
          <w:i/>
          <w:iCs/>
          <w:sz w:val="12"/>
          <w:szCs w:val="12"/>
        </w:rPr>
        <w:t>.</w:t>
      </w:r>
      <w:r w:rsidRPr="00BC5783">
        <w:rPr>
          <w:rFonts w:ascii="Verdana" w:hAnsi="Verdana" w:cstheme="minorHAnsi"/>
          <w:sz w:val="12"/>
          <w:szCs w:val="12"/>
        </w:rPr>
        <w:t xml:space="preserve"> </w:t>
      </w:r>
      <w:r w:rsidRPr="00BC5783">
        <w:rPr>
          <w:rFonts w:ascii="Verdana" w:hAnsi="Verdana" w:cstheme="minorHAnsi"/>
          <w:i/>
          <w:iCs/>
          <w:sz w:val="12"/>
          <w:szCs w:val="12"/>
        </w:rPr>
        <w:t>Addiction</w:t>
      </w:r>
      <w:r w:rsidRPr="00BC5783">
        <w:rPr>
          <w:rFonts w:ascii="Verdana" w:hAnsi="Verdana" w:cstheme="minorHAnsi"/>
          <w:sz w:val="12"/>
          <w:szCs w:val="12"/>
        </w:rPr>
        <w:t xml:space="preserve">, 1995. </w:t>
      </w:r>
      <w:r w:rsidRPr="00BC5783">
        <w:rPr>
          <w:rFonts w:ascii="Verdana" w:hAnsi="Verdana" w:cstheme="minorHAnsi"/>
          <w:b/>
          <w:bCs/>
          <w:sz w:val="12"/>
          <w:szCs w:val="12"/>
        </w:rPr>
        <w:t>90</w:t>
      </w:r>
      <w:r w:rsidRPr="00BC5783">
        <w:rPr>
          <w:rFonts w:ascii="Verdana" w:hAnsi="Verdana" w:cstheme="minorHAnsi"/>
          <w:sz w:val="12"/>
          <w:szCs w:val="12"/>
        </w:rPr>
        <w:t>(5): 607-614.</w:t>
      </w:r>
    </w:p>
    <w:p w14:paraId="47C55666" w14:textId="4B5AD80C" w:rsidR="00644730" w:rsidRPr="006A5DF6" w:rsidRDefault="00644730" w:rsidP="006A5DF6">
      <w:pPr>
        <w:spacing w:after="0" w:line="240" w:lineRule="auto"/>
        <w:rPr>
          <w:sz w:val="16"/>
          <w:szCs w:val="16"/>
        </w:rPr>
      </w:pPr>
      <w:bookmarkStart w:id="7" w:name="_Hlk42000301"/>
      <w:bookmarkEnd w:id="4"/>
      <w:bookmarkEnd w:id="5"/>
    </w:p>
    <w:p w14:paraId="771F246A" w14:textId="77777777" w:rsidR="00BC5783" w:rsidRPr="006A5DF6" w:rsidRDefault="00BC5783" w:rsidP="006A5DF6">
      <w:pPr>
        <w:spacing w:after="0" w:line="240" w:lineRule="auto"/>
        <w:rPr>
          <w:sz w:val="16"/>
          <w:szCs w:val="16"/>
        </w:rPr>
      </w:pPr>
    </w:p>
    <w:p w14:paraId="1C1335FA" w14:textId="3F2D4BE5" w:rsidR="00E0070B" w:rsidRPr="00BC5783" w:rsidRDefault="00E0070B" w:rsidP="00BC5783">
      <w:pPr>
        <w:pStyle w:val="Heading2"/>
        <w:spacing w:before="0" w:after="0" w:line="276" w:lineRule="auto"/>
        <w:rPr>
          <w:rFonts w:ascii="Verdana" w:hAnsi="Verdana" w:cstheme="minorHAnsi"/>
          <w:color w:val="auto"/>
          <w:sz w:val="12"/>
          <w:szCs w:val="12"/>
        </w:rPr>
      </w:pPr>
      <w:r w:rsidRPr="00BC5783">
        <w:rPr>
          <w:rFonts w:ascii="Verdana" w:hAnsi="Verdana" w:cstheme="minorHAnsi"/>
          <w:color w:val="auto"/>
          <w:sz w:val="12"/>
          <w:szCs w:val="12"/>
        </w:rPr>
        <w:t>Score references:</w:t>
      </w:r>
    </w:p>
    <w:p w14:paraId="681C687B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Bruno, R., Matthews, A.J., Topp, L., et al. </w:t>
      </w:r>
      <w:r w:rsidRPr="00BC5783">
        <w:rPr>
          <w:rFonts w:ascii="Verdana" w:hAnsi="Verdana"/>
          <w:i/>
          <w:sz w:val="12"/>
          <w:szCs w:val="12"/>
        </w:rPr>
        <w:t>Can the Severity of Dependence Scale be usefully applied to ‘ecstasy’?</w:t>
      </w:r>
      <w:r w:rsidRPr="00BC5783">
        <w:rPr>
          <w:rFonts w:ascii="Verdana" w:hAnsi="Verdana"/>
          <w:sz w:val="12"/>
          <w:szCs w:val="12"/>
        </w:rPr>
        <w:t xml:space="preserve"> Neuropsychobiology, 2009. </w:t>
      </w:r>
      <w:r w:rsidRPr="00BC5783">
        <w:rPr>
          <w:rFonts w:ascii="Verdana" w:hAnsi="Verdana"/>
          <w:b/>
          <w:sz w:val="12"/>
          <w:szCs w:val="12"/>
        </w:rPr>
        <w:t>60</w:t>
      </w:r>
      <w:r w:rsidRPr="00BC5783">
        <w:rPr>
          <w:rFonts w:ascii="Verdana" w:hAnsi="Verdana"/>
          <w:sz w:val="12"/>
          <w:szCs w:val="12"/>
        </w:rPr>
        <w:t>(3-4): 137-147</w:t>
      </w:r>
    </w:p>
    <w:p w14:paraId="597AB894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De Las Cuevas, C., Sanz, E.J., Padilla, J., and Berenguer, J.C. </w:t>
      </w:r>
      <w:r w:rsidRPr="00BC5783">
        <w:rPr>
          <w:rFonts w:ascii="Verdana" w:hAnsi="Verdana"/>
          <w:i/>
          <w:sz w:val="12"/>
          <w:szCs w:val="12"/>
        </w:rPr>
        <w:t>The Severity of Dependence Scale (SDS) as screening test for benzodiazepine dependence: SDS validation study.</w:t>
      </w:r>
      <w:r w:rsidRPr="00BC5783">
        <w:rPr>
          <w:rFonts w:ascii="Verdana" w:hAnsi="Verdana"/>
          <w:sz w:val="12"/>
          <w:szCs w:val="12"/>
        </w:rPr>
        <w:t xml:space="preserve"> Addiction, 2000. </w:t>
      </w:r>
      <w:r w:rsidRPr="00BC5783">
        <w:rPr>
          <w:rFonts w:ascii="Verdana" w:hAnsi="Verdana"/>
          <w:b/>
          <w:sz w:val="12"/>
          <w:szCs w:val="12"/>
        </w:rPr>
        <w:t>95</w:t>
      </w:r>
      <w:r w:rsidRPr="00BC5783">
        <w:rPr>
          <w:rFonts w:ascii="Verdana" w:hAnsi="Verdana"/>
          <w:sz w:val="12"/>
          <w:szCs w:val="12"/>
        </w:rPr>
        <w:t>(2): 245-250.</w:t>
      </w:r>
    </w:p>
    <w:p w14:paraId="7A67CABA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Gossop, M., Darke, S., Griffiths, P., et al. </w:t>
      </w:r>
      <w:r w:rsidRPr="00BC5783">
        <w:rPr>
          <w:rFonts w:ascii="Verdana" w:hAnsi="Verdana"/>
          <w:i/>
          <w:sz w:val="12"/>
          <w:szCs w:val="12"/>
        </w:rPr>
        <w:t>The Severity of Dependence Scale (SDS): psychometric properties of the SDS in English and Australian samples of heroin, cocaine and amphetamine users.</w:t>
      </w:r>
      <w:r w:rsidRPr="00BC5783">
        <w:rPr>
          <w:rFonts w:ascii="Verdana" w:hAnsi="Verdana"/>
          <w:sz w:val="12"/>
          <w:szCs w:val="12"/>
        </w:rPr>
        <w:t xml:space="preserve"> Addiction, 1995. </w:t>
      </w:r>
      <w:r w:rsidRPr="00BC5783">
        <w:rPr>
          <w:rFonts w:ascii="Verdana" w:hAnsi="Verdana"/>
          <w:b/>
          <w:sz w:val="12"/>
          <w:szCs w:val="12"/>
        </w:rPr>
        <w:t>90</w:t>
      </w:r>
      <w:r w:rsidRPr="00BC5783">
        <w:rPr>
          <w:rFonts w:ascii="Verdana" w:hAnsi="Verdana"/>
          <w:sz w:val="12"/>
          <w:szCs w:val="12"/>
        </w:rPr>
        <w:t>(5): 607-614.</w:t>
      </w:r>
    </w:p>
    <w:p w14:paraId="7EDB136D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Grande, R.B., Aaseth, K., Benth, J.Š., et al. </w:t>
      </w:r>
      <w:r w:rsidRPr="00BC5783">
        <w:rPr>
          <w:rFonts w:ascii="Verdana" w:hAnsi="Verdana"/>
          <w:i/>
          <w:sz w:val="12"/>
          <w:szCs w:val="12"/>
        </w:rPr>
        <w:t>The Severity of Dependence Scale detects people with medication overuse: the Akershus study of chronic headache.</w:t>
      </w:r>
      <w:r w:rsidRPr="00BC5783">
        <w:rPr>
          <w:rFonts w:ascii="Verdana" w:hAnsi="Verdana"/>
          <w:sz w:val="12"/>
          <w:szCs w:val="12"/>
        </w:rPr>
        <w:t xml:space="preserve"> Journal of Neurology, Neurosurgery and Psychiatry, 2009. </w:t>
      </w:r>
      <w:r w:rsidRPr="00BC5783">
        <w:rPr>
          <w:rFonts w:ascii="Verdana" w:hAnsi="Verdana"/>
          <w:b/>
          <w:sz w:val="12"/>
          <w:szCs w:val="12"/>
        </w:rPr>
        <w:t>80</w:t>
      </w:r>
      <w:r w:rsidRPr="00BC5783">
        <w:rPr>
          <w:rFonts w:ascii="Verdana" w:hAnsi="Verdana"/>
          <w:sz w:val="12"/>
          <w:szCs w:val="12"/>
        </w:rPr>
        <w:t>(7): 784-789.</w:t>
      </w:r>
    </w:p>
    <w:p w14:paraId="5530C3D1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Kaye, S. and Darke, S. </w:t>
      </w:r>
      <w:r w:rsidRPr="00BC5783">
        <w:rPr>
          <w:rFonts w:ascii="Verdana" w:hAnsi="Verdana"/>
          <w:i/>
          <w:sz w:val="12"/>
          <w:szCs w:val="12"/>
        </w:rPr>
        <w:t>Determining a diagnostic cut-off on the Severity of Dependence Scale (SDS) for cocaine dependence.</w:t>
      </w:r>
      <w:r w:rsidRPr="00BC5783">
        <w:rPr>
          <w:rFonts w:ascii="Verdana" w:hAnsi="Verdana"/>
          <w:sz w:val="12"/>
          <w:szCs w:val="12"/>
        </w:rPr>
        <w:t xml:space="preserve"> Addiction, 2002. </w:t>
      </w:r>
      <w:r w:rsidRPr="00BC5783">
        <w:rPr>
          <w:rFonts w:ascii="Verdana" w:hAnsi="Verdana"/>
          <w:b/>
          <w:sz w:val="12"/>
          <w:szCs w:val="12"/>
        </w:rPr>
        <w:t>97</w:t>
      </w:r>
      <w:r w:rsidRPr="00BC5783">
        <w:rPr>
          <w:rFonts w:ascii="Verdana" w:hAnsi="Verdana"/>
          <w:sz w:val="12"/>
          <w:szCs w:val="12"/>
        </w:rPr>
        <w:t>(6): 727-731.</w:t>
      </w:r>
    </w:p>
    <w:p w14:paraId="1A8D9F8C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Lawrinson, P., Copeland, J., Gerber, S., and Gilmour, S. </w:t>
      </w:r>
      <w:r w:rsidRPr="00BC5783">
        <w:rPr>
          <w:rFonts w:ascii="Verdana" w:hAnsi="Verdana"/>
          <w:i/>
          <w:sz w:val="12"/>
          <w:szCs w:val="12"/>
        </w:rPr>
        <w:t>Determining a cut-off on the Severity of Dependence Scale (SDS) for alcohol dependence.</w:t>
      </w:r>
      <w:r w:rsidRPr="00BC5783">
        <w:rPr>
          <w:rFonts w:ascii="Verdana" w:hAnsi="Verdana"/>
          <w:sz w:val="12"/>
          <w:szCs w:val="12"/>
        </w:rPr>
        <w:t xml:space="preserve"> Addictive Behaviors, 2007. </w:t>
      </w:r>
      <w:r w:rsidRPr="00BC5783">
        <w:rPr>
          <w:rFonts w:ascii="Verdana" w:hAnsi="Verdana"/>
          <w:b/>
          <w:sz w:val="12"/>
          <w:szCs w:val="12"/>
        </w:rPr>
        <w:t>32</w:t>
      </w:r>
      <w:r w:rsidRPr="00BC5783">
        <w:rPr>
          <w:rFonts w:ascii="Verdana" w:hAnsi="Verdana"/>
          <w:sz w:val="12"/>
          <w:szCs w:val="12"/>
        </w:rPr>
        <w:t>(7): 1474-1479.</w:t>
      </w:r>
    </w:p>
    <w:p w14:paraId="0D785635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Swift, W., Copeland, J., and Hall, W. </w:t>
      </w:r>
      <w:r w:rsidRPr="00BC5783">
        <w:rPr>
          <w:rFonts w:ascii="Verdana" w:hAnsi="Verdana"/>
          <w:i/>
          <w:sz w:val="12"/>
          <w:szCs w:val="12"/>
        </w:rPr>
        <w:t>Choosing a diagnostic cut-off for cannabis dependence.</w:t>
      </w:r>
      <w:r w:rsidRPr="00BC5783">
        <w:rPr>
          <w:rFonts w:ascii="Verdana" w:hAnsi="Verdana"/>
          <w:sz w:val="12"/>
          <w:szCs w:val="12"/>
        </w:rPr>
        <w:t xml:space="preserve"> Addiction, 1998. </w:t>
      </w:r>
      <w:r w:rsidRPr="00BC5783">
        <w:rPr>
          <w:rFonts w:ascii="Verdana" w:hAnsi="Verdana"/>
          <w:b/>
          <w:sz w:val="12"/>
          <w:szCs w:val="12"/>
        </w:rPr>
        <w:t>93</w:t>
      </w:r>
      <w:r w:rsidRPr="00BC5783">
        <w:rPr>
          <w:rFonts w:ascii="Verdana" w:hAnsi="Verdana"/>
          <w:sz w:val="12"/>
          <w:szCs w:val="12"/>
        </w:rPr>
        <w:t>(11): 1681-1692.</w:t>
      </w:r>
    </w:p>
    <w:p w14:paraId="462E8CC2" w14:textId="77777777" w:rsidR="00E0070B" w:rsidRPr="00BC5783" w:rsidRDefault="00E0070B" w:rsidP="00BC5783">
      <w:pPr>
        <w:pStyle w:val="EndNoteBibliography"/>
        <w:numPr>
          <w:ilvl w:val="0"/>
          <w:numId w:val="11"/>
        </w:numPr>
        <w:spacing w:after="0" w:line="276" w:lineRule="auto"/>
        <w:ind w:left="714" w:hanging="357"/>
        <w:rPr>
          <w:rFonts w:ascii="Verdana" w:hAnsi="Verdana"/>
          <w:sz w:val="12"/>
          <w:szCs w:val="12"/>
        </w:rPr>
      </w:pPr>
      <w:r w:rsidRPr="00BC5783">
        <w:rPr>
          <w:rFonts w:ascii="Verdana" w:hAnsi="Verdana"/>
          <w:sz w:val="12"/>
          <w:szCs w:val="12"/>
        </w:rPr>
        <w:t xml:space="preserve">Topp, L. and Mattick, R.P. </w:t>
      </w:r>
      <w:r w:rsidRPr="00BC5783">
        <w:rPr>
          <w:rFonts w:ascii="Verdana" w:hAnsi="Verdana"/>
          <w:i/>
          <w:sz w:val="12"/>
          <w:szCs w:val="12"/>
        </w:rPr>
        <w:t>Choosing a cut-off on the Severity of Dependence Scale (SDS) for amphetamine users.</w:t>
      </w:r>
      <w:r w:rsidRPr="00BC5783">
        <w:rPr>
          <w:rFonts w:ascii="Verdana" w:hAnsi="Verdana"/>
          <w:sz w:val="12"/>
          <w:szCs w:val="12"/>
        </w:rPr>
        <w:t xml:space="preserve"> Addiction, 1997. </w:t>
      </w:r>
      <w:r w:rsidRPr="00BC5783">
        <w:rPr>
          <w:rFonts w:ascii="Verdana" w:hAnsi="Verdana"/>
          <w:b/>
          <w:sz w:val="12"/>
          <w:szCs w:val="12"/>
        </w:rPr>
        <w:t>92</w:t>
      </w:r>
      <w:r w:rsidRPr="00BC5783">
        <w:rPr>
          <w:rFonts w:ascii="Verdana" w:hAnsi="Verdana"/>
          <w:sz w:val="12"/>
          <w:szCs w:val="12"/>
        </w:rPr>
        <w:t>(7): 839-845.</w:t>
      </w:r>
    </w:p>
    <w:p w14:paraId="00B51EDF" w14:textId="001E5D3B" w:rsidR="00811179" w:rsidRPr="00BC5783" w:rsidRDefault="005324EC" w:rsidP="00BC5783">
      <w:pPr>
        <w:pStyle w:val="Heading2"/>
        <w:spacing w:line="276" w:lineRule="auto"/>
        <w:rPr>
          <w:rFonts w:ascii="Verdana" w:hAnsi="Verdana" w:cstheme="minorHAnsi"/>
          <w:b w:val="0"/>
          <w:bCs w:val="0"/>
          <w:color w:val="auto"/>
          <w:sz w:val="12"/>
          <w:szCs w:val="12"/>
        </w:rPr>
      </w:pPr>
      <w:r w:rsidRPr="00BC5783">
        <w:rPr>
          <w:rFonts w:ascii="Verdana" w:hAnsi="Verdana" w:cstheme="minorHAnsi"/>
          <w:color w:val="auto"/>
          <w:sz w:val="12"/>
          <w:szCs w:val="12"/>
        </w:rPr>
        <w:t>Further information</w:t>
      </w:r>
      <w:r w:rsidRPr="00BC5783">
        <w:rPr>
          <w:rFonts w:ascii="Verdana" w:hAnsi="Verdana" w:cstheme="minorHAnsi"/>
          <w:b w:val="0"/>
          <w:bCs w:val="0"/>
          <w:color w:val="auto"/>
          <w:sz w:val="12"/>
          <w:szCs w:val="12"/>
        </w:rPr>
        <w:t xml:space="preserve">: </w:t>
      </w:r>
      <w:bookmarkEnd w:id="1"/>
      <w:bookmarkEnd w:id="7"/>
      <w:r w:rsidR="00811179" w:rsidRPr="00BC5783">
        <w:rPr>
          <w:rFonts w:ascii="Verdana" w:hAnsi="Verdana" w:cstheme="minorHAnsi"/>
          <w:b w:val="0"/>
          <w:bCs w:val="0"/>
          <w:color w:val="auto"/>
          <w:sz w:val="12"/>
          <w:szCs w:val="12"/>
        </w:rPr>
        <w:t xml:space="preserve">Fischer, J.A., Roche, A.M., and Duraisingam, V. </w:t>
      </w:r>
      <w:r w:rsidR="00811179" w:rsidRPr="00BC5783">
        <w:rPr>
          <w:rFonts w:ascii="Verdana" w:hAnsi="Verdana" w:cstheme="minorHAnsi"/>
          <w:b w:val="0"/>
          <w:bCs w:val="0"/>
          <w:i/>
          <w:color w:val="auto"/>
          <w:sz w:val="12"/>
          <w:szCs w:val="12"/>
        </w:rPr>
        <w:t>Severity of Dependence Scale (SDS): description, strengths and knowledge gaps</w:t>
      </w:r>
      <w:r w:rsidR="00811179" w:rsidRPr="00BC5783">
        <w:rPr>
          <w:rFonts w:ascii="Verdana" w:hAnsi="Verdana" w:cstheme="minorHAnsi"/>
          <w:b w:val="0"/>
          <w:bCs w:val="0"/>
          <w:color w:val="auto"/>
          <w:sz w:val="12"/>
          <w:szCs w:val="12"/>
        </w:rPr>
        <w:t>. 2021, National Centre for Education and Training on Addiction (NCETA), Flinders University: Adelaide, South Australia.</w:t>
      </w:r>
    </w:p>
    <w:p w14:paraId="1753A65B" w14:textId="28B7BE21" w:rsidR="005324EC" w:rsidRPr="002E127A" w:rsidRDefault="005324EC">
      <w:pPr>
        <w:spacing w:after="160" w:line="259" w:lineRule="auto"/>
        <w:rPr>
          <w:sz w:val="18"/>
          <w:szCs w:val="18"/>
        </w:rPr>
      </w:pPr>
    </w:p>
    <w:p w14:paraId="1A840234" w14:textId="77777777" w:rsidR="00E0070B" w:rsidRPr="002E127A" w:rsidRDefault="00E0070B" w:rsidP="00E0070B">
      <w:pPr>
        <w:pStyle w:val="EndNoteBibliography"/>
        <w:rPr>
          <w:sz w:val="18"/>
          <w:szCs w:val="18"/>
        </w:rPr>
      </w:pPr>
    </w:p>
    <w:sectPr w:rsidR="00E0070B" w:rsidRPr="002E127A" w:rsidSect="009E0142">
      <w:footerReference w:type="default" r:id="rId7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0B8D0" w14:textId="77777777" w:rsidR="004E6399" w:rsidRDefault="004E6399">
      <w:pPr>
        <w:spacing w:after="0" w:line="240" w:lineRule="auto"/>
      </w:pPr>
      <w:r>
        <w:separator/>
      </w:r>
    </w:p>
  </w:endnote>
  <w:endnote w:type="continuationSeparator" w:id="0">
    <w:p w14:paraId="5031593D" w14:textId="77777777" w:rsidR="004E6399" w:rsidRDefault="004E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99DAD" w14:textId="59F6AFE5" w:rsidR="00796461" w:rsidRPr="006A5DF6" w:rsidRDefault="00796461" w:rsidP="000E0963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6A5DF6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06CAE7A4" wp14:editId="6DF97E7F">
          <wp:simplePos x="0" y="0"/>
          <wp:positionH relativeFrom="margin">
            <wp:posOffset>4707467</wp:posOffset>
          </wp:positionH>
          <wp:positionV relativeFrom="paragraph">
            <wp:posOffset>16934</wp:posOffset>
          </wp:positionV>
          <wp:extent cx="1022350" cy="436034"/>
          <wp:effectExtent l="0" t="0" r="6350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36" cy="445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2C7E" w14:textId="3CB72AEE" w:rsidR="00E0070B" w:rsidRPr="006A5DF6" w:rsidRDefault="00E0070B" w:rsidP="000E0963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6A5DF6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145CB871" w14:textId="66AF7A1F" w:rsidR="00E0070B" w:rsidRPr="006A5DF6" w:rsidRDefault="00E0070B" w:rsidP="006A5DF6">
    <w:pPr>
      <w:pStyle w:val="Footer"/>
      <w:pBdr>
        <w:top w:val="single" w:sz="4" w:space="1" w:color="D9D9D9" w:themeColor="background1" w:themeShade="D9"/>
      </w:pBdr>
      <w:tabs>
        <w:tab w:val="clear" w:pos="9026"/>
        <w:tab w:val="left" w:pos="7447"/>
      </w:tabs>
      <w:spacing w:after="0" w:line="240" w:lineRule="auto"/>
      <w:rPr>
        <w:rFonts w:ascii="Verdana" w:hAnsi="Verdana"/>
        <w:sz w:val="12"/>
        <w:szCs w:val="12"/>
      </w:rPr>
    </w:pPr>
    <w:r w:rsidRPr="006A5DF6">
      <w:rPr>
        <w:rFonts w:ascii="Verdana" w:hAnsi="Verdana"/>
        <w:sz w:val="12"/>
        <w:szCs w:val="12"/>
      </w:rPr>
      <w:t>© 2021 National Centre for Education and Training on Addiction (NCETA), Flinders University</w:t>
    </w:r>
    <w:r w:rsidR="006A5DF6">
      <w:rPr>
        <w:rFonts w:ascii="Verdana" w:hAnsi="Verdana"/>
        <w:sz w:val="12"/>
        <w:szCs w:val="12"/>
      </w:rPr>
      <w:tab/>
    </w:r>
  </w:p>
  <w:p w14:paraId="441C7249" w14:textId="2D06281F" w:rsidR="00E0070B" w:rsidRPr="006A5DF6" w:rsidRDefault="008018FE" w:rsidP="000E0963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hyperlink r:id="rId2" w:history="1">
      <w:r w:rsidR="00E0070B" w:rsidRPr="006A5DF6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E0070B" w:rsidRPr="006A5DF6">
      <w:rPr>
        <w:rFonts w:ascii="Verdana" w:hAnsi="Verdana"/>
        <w:sz w:val="12"/>
        <w:szCs w:val="12"/>
      </w:rPr>
      <w:t xml:space="preserve"> | </w:t>
    </w:r>
    <w:hyperlink r:id="rId3" w:history="1">
      <w:r w:rsidR="00E0070B" w:rsidRPr="006A5DF6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E0070B" w:rsidRPr="006A5DF6">
      <w:rPr>
        <w:rFonts w:ascii="Verdana" w:hAnsi="Verdana"/>
        <w:sz w:val="12"/>
        <w:szCs w:val="12"/>
      </w:rPr>
      <w:t xml:space="preserve"> | 08 8201 7535</w:t>
    </w:r>
  </w:p>
  <w:p w14:paraId="12592CF2" w14:textId="25A875A4" w:rsidR="00E0070B" w:rsidRPr="00BC0DD4" w:rsidRDefault="00E0070B" w:rsidP="000E0963">
    <w:pPr>
      <w:pStyle w:val="Footer"/>
      <w:pBdr>
        <w:top w:val="single" w:sz="4" w:space="1" w:color="D9D9D9" w:themeColor="background1" w:themeShade="D9"/>
      </w:pBdr>
      <w:spacing w:after="0" w:line="240" w:lineRule="aut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395CC" w14:textId="77777777" w:rsidR="004E6399" w:rsidRDefault="004E6399">
      <w:pPr>
        <w:spacing w:after="0" w:line="240" w:lineRule="auto"/>
      </w:pPr>
      <w:r>
        <w:separator/>
      </w:r>
    </w:p>
  </w:footnote>
  <w:footnote w:type="continuationSeparator" w:id="0">
    <w:p w14:paraId="734CFDF8" w14:textId="77777777" w:rsidR="004E6399" w:rsidRDefault="004E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7E0"/>
    <w:multiLevelType w:val="hybridMultilevel"/>
    <w:tmpl w:val="A75AC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09C3"/>
    <w:multiLevelType w:val="hybridMultilevel"/>
    <w:tmpl w:val="3DCC2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3566C"/>
    <w:multiLevelType w:val="hybridMultilevel"/>
    <w:tmpl w:val="797AB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C12D5"/>
    <w:multiLevelType w:val="hybridMultilevel"/>
    <w:tmpl w:val="33047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05371"/>
    <w:multiLevelType w:val="hybridMultilevel"/>
    <w:tmpl w:val="4176A3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862DB"/>
    <w:multiLevelType w:val="hybridMultilevel"/>
    <w:tmpl w:val="7BE8FC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62D81"/>
    <w:multiLevelType w:val="hybridMultilevel"/>
    <w:tmpl w:val="554462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14FEB"/>
    <w:multiLevelType w:val="hybridMultilevel"/>
    <w:tmpl w:val="6C06814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0E7D06"/>
    <w:multiLevelType w:val="hybridMultilevel"/>
    <w:tmpl w:val="656A0238"/>
    <w:lvl w:ilvl="0" w:tplc="0409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69EB1768"/>
    <w:multiLevelType w:val="hybridMultilevel"/>
    <w:tmpl w:val="26587D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87849"/>
    <w:multiLevelType w:val="hybridMultilevel"/>
    <w:tmpl w:val="C4800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11179"/>
    <w:rsid w:val="00094C03"/>
    <w:rsid w:val="000A1678"/>
    <w:rsid w:val="002E127A"/>
    <w:rsid w:val="003C244B"/>
    <w:rsid w:val="00400238"/>
    <w:rsid w:val="004E6399"/>
    <w:rsid w:val="005324EC"/>
    <w:rsid w:val="00644730"/>
    <w:rsid w:val="006A5DF6"/>
    <w:rsid w:val="006D16A3"/>
    <w:rsid w:val="00796461"/>
    <w:rsid w:val="008018FE"/>
    <w:rsid w:val="0080512D"/>
    <w:rsid w:val="00811179"/>
    <w:rsid w:val="009E0142"/>
    <w:rsid w:val="00AF3699"/>
    <w:rsid w:val="00BC5783"/>
    <w:rsid w:val="00E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8FED4"/>
  <w15:chartTrackingRefBased/>
  <w15:docId w15:val="{72CD6C46-8D37-48A8-8C4D-A3C8100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79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179"/>
    <w:pPr>
      <w:keepNext/>
      <w:spacing w:after="240" w:line="240" w:lineRule="auto"/>
      <w:outlineLvl w:val="0"/>
    </w:pPr>
    <w:rPr>
      <w:rFonts w:ascii="Abadi" w:eastAsiaTheme="majorEastAsia" w:hAnsi="Abadi" w:cstheme="majorBidi"/>
      <w:b/>
      <w:bCs/>
      <w:color w:val="385623" w:themeColor="accent6" w:themeShade="8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179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179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17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17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1179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117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1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179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79"/>
    <w:rPr>
      <w:rFonts w:ascii="Abadi" w:eastAsiaTheme="majorEastAsia" w:hAnsi="Abadi" w:cstheme="majorBidi"/>
      <w:b/>
      <w:bCs/>
      <w:color w:val="385623" w:themeColor="accent6" w:themeShade="8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1179"/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1179"/>
    <w:rPr>
      <w:rFonts w:eastAsiaTheme="majorEastAsia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1179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11179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11179"/>
    <w:rPr>
      <w:rFonts w:eastAsiaTheme="minorEastAsia" w:cstheme="majorBid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811179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179"/>
    <w:rPr>
      <w:rFonts w:eastAsiaTheme="minorEastAsi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179"/>
    <w:rPr>
      <w:rFonts w:asciiTheme="majorHAnsi" w:eastAsiaTheme="majorEastAsia" w:hAnsiTheme="majorHAnsi" w:cs="Times New Roman"/>
      <w:sz w:val="20"/>
    </w:rPr>
  </w:style>
  <w:style w:type="character" w:styleId="Strong">
    <w:name w:val="Strong"/>
    <w:basedOn w:val="DefaultParagraphFont"/>
    <w:uiPriority w:val="22"/>
    <w:qFormat/>
    <w:rsid w:val="0081117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11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17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117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179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1179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811179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1117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1117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1179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811179"/>
    <w:rPr>
      <w:i/>
      <w:iCs/>
    </w:rPr>
  </w:style>
  <w:style w:type="table" w:customStyle="1" w:styleId="PlainTable51">
    <w:name w:val="Plain Table 51"/>
    <w:basedOn w:val="TableNormal"/>
    <w:uiPriority w:val="45"/>
    <w:rsid w:val="00811179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81117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11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179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179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79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11179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117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811179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11179"/>
    <w:rPr>
      <w:rFonts w:ascii="Calibri" w:eastAsiaTheme="minorEastAsia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11179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11179"/>
    <w:rPr>
      <w:rFonts w:ascii="Calibri" w:eastAsiaTheme="minorEastAsia" w:hAnsi="Calibri" w:cs="Calibri"/>
      <w:noProof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11179"/>
  </w:style>
  <w:style w:type="character" w:customStyle="1" w:styleId="content-anchor">
    <w:name w:val="content-anchor"/>
    <w:basedOn w:val="DefaultParagraphFont"/>
    <w:rsid w:val="00811179"/>
  </w:style>
  <w:style w:type="paragraph" w:styleId="Title">
    <w:name w:val="Title"/>
    <w:basedOn w:val="Normal"/>
    <w:next w:val="Normal"/>
    <w:link w:val="TitleChar"/>
    <w:uiPriority w:val="10"/>
    <w:qFormat/>
    <w:rsid w:val="008111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117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1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11179"/>
    <w:rPr>
      <w:rFonts w:asciiTheme="majorHAnsi" w:eastAsiaTheme="majorEastAsia" w:hAnsiTheme="majorHAnsi" w:cs="Times New Roman"/>
      <w:sz w:val="20"/>
      <w:szCs w:val="24"/>
    </w:rPr>
  </w:style>
  <w:style w:type="paragraph" w:styleId="NoSpacing">
    <w:name w:val="No Spacing"/>
    <w:basedOn w:val="Normal"/>
    <w:uiPriority w:val="1"/>
    <w:qFormat/>
    <w:rsid w:val="00811179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81117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11179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17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179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81117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117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117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117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117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11179"/>
    <w:pPr>
      <w:outlineLvl w:val="9"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1179"/>
    <w:rPr>
      <w:rFonts w:eastAsiaTheme="minorEastAsia" w:cs="Times New Roman"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111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11179"/>
    <w:pPr>
      <w:spacing w:after="100"/>
      <w:ind w:left="440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11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11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179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179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79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3</cp:revision>
  <dcterms:created xsi:type="dcterms:W3CDTF">2021-05-19T00:37:00Z</dcterms:created>
  <dcterms:modified xsi:type="dcterms:W3CDTF">2021-05-19T00:51:00Z</dcterms:modified>
</cp:coreProperties>
</file>